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8590E" w14:textId="2DA8D6F7" w:rsidR="005A4FC0" w:rsidRPr="001142C0" w:rsidRDefault="00C76877">
      <w:pPr>
        <w:pBdr>
          <w:top w:val="nil"/>
          <w:left w:val="nil"/>
          <w:bottom w:val="nil"/>
          <w:right w:val="nil"/>
          <w:between w:val="nil"/>
        </w:pBdr>
        <w:rPr>
          <w:rFonts w:ascii="Arial Nova" w:eastAsia="Arial" w:hAnsi="Arial Nova" w:cs="Arial"/>
          <w:b/>
          <w:bCs/>
          <w:color w:val="000000"/>
          <w:sz w:val="28"/>
          <w:szCs w:val="28"/>
        </w:rPr>
      </w:pPr>
      <w:r w:rsidRPr="001142C0">
        <w:rPr>
          <w:rFonts w:ascii="Arial Nova" w:eastAsia="Arial" w:hAnsi="Arial Nova" w:cs="Arial"/>
          <w:b/>
          <w:bCs/>
          <w:color w:val="000000"/>
          <w:sz w:val="28"/>
          <w:szCs w:val="28"/>
        </w:rPr>
        <w:t xml:space="preserve">Penyuluhan Peningkatan Kesadaran Warga Kampung Cijugul </w:t>
      </w:r>
      <w:r w:rsidR="008B0016" w:rsidRPr="001142C0">
        <w:rPr>
          <w:rFonts w:ascii="Arial Nova" w:eastAsia="Arial" w:hAnsi="Arial Nova" w:cs="Arial"/>
          <w:b/>
          <w:bCs/>
          <w:color w:val="000000"/>
          <w:sz w:val="28"/>
          <w:szCs w:val="28"/>
        </w:rPr>
        <w:t>d</w:t>
      </w:r>
      <w:r w:rsidRPr="001142C0">
        <w:rPr>
          <w:rFonts w:ascii="Arial Nova" w:eastAsia="Arial" w:hAnsi="Arial Nova" w:cs="Arial"/>
          <w:b/>
          <w:bCs/>
          <w:color w:val="000000"/>
          <w:sz w:val="28"/>
          <w:szCs w:val="28"/>
        </w:rPr>
        <w:t>alam Pemilihan Obat Halal</w:t>
      </w:r>
    </w:p>
    <w:p w14:paraId="131D74BC" w14:textId="77777777" w:rsidR="005A4FC0" w:rsidRPr="001142C0" w:rsidRDefault="005A4FC0">
      <w:pPr>
        <w:pBdr>
          <w:top w:val="nil"/>
          <w:left w:val="nil"/>
          <w:bottom w:val="nil"/>
          <w:right w:val="nil"/>
          <w:between w:val="nil"/>
        </w:pBdr>
        <w:rPr>
          <w:rFonts w:ascii="Arial Nova" w:eastAsia="Arial" w:hAnsi="Arial Nova" w:cs="Arial"/>
          <w:b/>
          <w:bCs/>
          <w:color w:val="000000"/>
          <w:sz w:val="22"/>
          <w:szCs w:val="22"/>
        </w:rPr>
      </w:pPr>
    </w:p>
    <w:p w14:paraId="6C141381" w14:textId="52C4C6CB" w:rsidR="005A4FC0" w:rsidRPr="001142C0" w:rsidRDefault="00C76877">
      <w:pPr>
        <w:pBdr>
          <w:top w:val="nil"/>
          <w:left w:val="nil"/>
          <w:bottom w:val="nil"/>
          <w:right w:val="nil"/>
          <w:between w:val="nil"/>
        </w:pBdr>
        <w:rPr>
          <w:rFonts w:ascii="Arial Nova" w:eastAsia="Arial" w:hAnsi="Arial Nova" w:cs="Arial"/>
          <w:b/>
          <w:bCs/>
          <w:color w:val="EE0000"/>
          <w:sz w:val="24"/>
          <w:szCs w:val="24"/>
        </w:rPr>
      </w:pPr>
      <w:r w:rsidRPr="001142C0">
        <w:rPr>
          <w:rFonts w:ascii="Arial Nova" w:eastAsia="Arial" w:hAnsi="Arial Nova" w:cs="Arial"/>
          <w:b/>
          <w:bCs/>
          <w:color w:val="000000"/>
          <w:sz w:val="24"/>
          <w:szCs w:val="24"/>
        </w:rPr>
        <w:t>Amanda Salsabila</w:t>
      </w:r>
      <w:r w:rsidR="00910227">
        <w:rPr>
          <w:rFonts w:ascii="Arial Nova" w:eastAsia="Arial" w:hAnsi="Arial Nova" w:cs="Arial"/>
          <w:b/>
          <w:bCs/>
          <w:color w:val="000000"/>
          <w:sz w:val="24"/>
          <w:szCs w:val="24"/>
        </w:rPr>
        <w:t>*</w:t>
      </w:r>
      <w:r w:rsidRPr="001142C0">
        <w:rPr>
          <w:rFonts w:ascii="Arial Nova" w:eastAsia="Arial" w:hAnsi="Arial Nova" w:cs="Arial"/>
          <w:b/>
          <w:bCs/>
          <w:color w:val="000000"/>
          <w:sz w:val="24"/>
          <w:szCs w:val="24"/>
        </w:rPr>
        <w:t xml:space="preserve">, Aghni Syifa Sholihah, Neng Sovi Hanifah, Shifa Nurmayanti, Silmi Hikmatun Aulia, Siti Halimah Sya'diyah, Ulfani Rofiul Azizah </w:t>
      </w:r>
    </w:p>
    <w:p w14:paraId="593D3971" w14:textId="77777777" w:rsidR="005A4FC0" w:rsidRPr="001142C0" w:rsidRDefault="005A4FC0">
      <w:pPr>
        <w:pBdr>
          <w:top w:val="nil"/>
          <w:left w:val="nil"/>
          <w:bottom w:val="nil"/>
          <w:right w:val="nil"/>
          <w:between w:val="nil"/>
        </w:pBdr>
        <w:rPr>
          <w:rFonts w:ascii="Arial Nova" w:eastAsia="Arial" w:hAnsi="Arial Nova" w:cs="Arial"/>
          <w:color w:val="EE0000"/>
          <w:sz w:val="24"/>
          <w:szCs w:val="24"/>
        </w:rPr>
      </w:pPr>
    </w:p>
    <w:p w14:paraId="00D5F0B2" w14:textId="77777777" w:rsidR="001142C0" w:rsidRPr="001142C0" w:rsidRDefault="001142C0" w:rsidP="001142C0">
      <w:pPr>
        <w:pBdr>
          <w:top w:val="nil"/>
          <w:left w:val="nil"/>
          <w:bottom w:val="nil"/>
          <w:right w:val="nil"/>
          <w:between w:val="nil"/>
        </w:pBdr>
        <w:rPr>
          <w:rFonts w:ascii="Arial Nova" w:eastAsia="Arial" w:hAnsi="Arial Nova" w:cs="Arial"/>
          <w:color w:val="000000"/>
          <w:sz w:val="24"/>
          <w:szCs w:val="24"/>
        </w:rPr>
      </w:pPr>
      <w:r w:rsidRPr="001142C0">
        <w:rPr>
          <w:rFonts w:ascii="Arial Nova" w:eastAsia="Arial" w:hAnsi="Arial Nova" w:cs="Arial"/>
          <w:color w:val="000000"/>
          <w:sz w:val="24"/>
          <w:szCs w:val="24"/>
        </w:rPr>
        <w:t xml:space="preserve">Program Studi Farmasi, Fakultas Matematika dan Ilmu Pengetahuan Alam, </w:t>
      </w:r>
    </w:p>
    <w:p w14:paraId="2E4FC90D" w14:textId="2A7F978F" w:rsidR="005A4FC0" w:rsidRPr="001142C0" w:rsidRDefault="001142C0" w:rsidP="001142C0">
      <w:pPr>
        <w:pBdr>
          <w:top w:val="nil"/>
          <w:left w:val="nil"/>
          <w:bottom w:val="nil"/>
          <w:right w:val="nil"/>
          <w:between w:val="nil"/>
        </w:pBdr>
        <w:spacing w:after="240"/>
        <w:rPr>
          <w:rFonts w:ascii="Arial Nova" w:eastAsia="Arial" w:hAnsi="Arial Nova" w:cs="Arial"/>
          <w:color w:val="000000"/>
          <w:sz w:val="24"/>
          <w:szCs w:val="24"/>
        </w:rPr>
      </w:pPr>
      <w:r w:rsidRPr="001142C0">
        <w:rPr>
          <w:rFonts w:ascii="Arial Nova" w:eastAsia="Arial" w:hAnsi="Arial Nova" w:cs="Arial"/>
          <w:color w:val="000000"/>
          <w:sz w:val="24"/>
          <w:szCs w:val="24"/>
        </w:rPr>
        <w:t>Universitas Garut, Jl. Prof. Aam Hamdani No. 42B, Kecamatan Tarogong Kaler, Kabupaten Garut, Jawa Barat, 4415, Indonesia.</w:t>
      </w:r>
    </w:p>
    <w:p w14:paraId="45E0B8D6" w14:textId="77777777" w:rsidR="005A4FC0" w:rsidRPr="001142C0" w:rsidRDefault="00430EED">
      <w:pPr>
        <w:pBdr>
          <w:top w:val="nil"/>
          <w:left w:val="nil"/>
          <w:bottom w:val="nil"/>
          <w:right w:val="nil"/>
          <w:between w:val="nil"/>
        </w:pBdr>
        <w:rPr>
          <w:rFonts w:ascii="Arial Nova" w:eastAsia="Arial" w:hAnsi="Arial Nova" w:cs="Arial"/>
          <w:color w:val="000000"/>
          <w:sz w:val="24"/>
          <w:szCs w:val="24"/>
        </w:rPr>
      </w:pPr>
      <w:hyperlink r:id="rId9">
        <w:r w:rsidR="005A4FC0" w:rsidRPr="001142C0">
          <w:rPr>
            <w:rFonts w:ascii="Arial Nova" w:eastAsia="Arial" w:hAnsi="Arial Nova" w:cs="Arial"/>
            <w:color w:val="0000FF"/>
            <w:sz w:val="24"/>
            <w:szCs w:val="24"/>
          </w:rPr>
          <w:t>amandasalsabila206@gmail.com</w:t>
        </w:r>
      </w:hyperlink>
      <w:r w:rsidR="005A4FC0" w:rsidRPr="001142C0">
        <w:rPr>
          <w:rFonts w:ascii="Arial Nova" w:eastAsia="Arial" w:hAnsi="Arial Nova" w:cs="Arial"/>
          <w:color w:val="000000"/>
          <w:sz w:val="24"/>
          <w:szCs w:val="24"/>
        </w:rPr>
        <w:t>,</w:t>
      </w:r>
      <w:r w:rsidR="005A4FC0" w:rsidRPr="001142C0">
        <w:rPr>
          <w:rFonts w:ascii="Arial Nova" w:eastAsia="Arial" w:hAnsi="Arial Nova" w:cs="Arial"/>
          <w:color w:val="000000"/>
          <w:sz w:val="22"/>
          <w:szCs w:val="22"/>
        </w:rPr>
        <w:t xml:space="preserve"> </w:t>
      </w:r>
      <w:hyperlink r:id="rId10">
        <w:r w:rsidR="005A4FC0" w:rsidRPr="001142C0">
          <w:rPr>
            <w:rFonts w:ascii="Arial Nova" w:eastAsia="Arial" w:hAnsi="Arial Nova" w:cs="Arial"/>
            <w:color w:val="0000FF"/>
            <w:sz w:val="24"/>
            <w:szCs w:val="24"/>
          </w:rPr>
          <w:t>syfaaghni</w:t>
        </w:r>
      </w:hyperlink>
      <w:hyperlink r:id="rId11">
        <w:r w:rsidR="005A4FC0" w:rsidRPr="001142C0">
          <w:rPr>
            <w:rFonts w:ascii="Arial Nova" w:eastAsia="Arial" w:hAnsi="Arial Nova" w:cs="Arial"/>
            <w:color w:val="0000FF"/>
            <w:sz w:val="24"/>
            <w:szCs w:val="24"/>
          </w:rPr>
          <w:t>@gmail.com</w:t>
        </w:r>
      </w:hyperlink>
      <w:r w:rsidR="005A4FC0" w:rsidRPr="001142C0">
        <w:rPr>
          <w:rFonts w:ascii="Arial Nova" w:eastAsia="Arial" w:hAnsi="Arial Nova" w:cs="Arial"/>
          <w:color w:val="000000"/>
          <w:sz w:val="24"/>
          <w:szCs w:val="24"/>
        </w:rPr>
        <w:t xml:space="preserve">,  </w:t>
      </w:r>
      <w:hyperlink r:id="rId12">
        <w:r w:rsidR="005A4FC0" w:rsidRPr="001142C0">
          <w:rPr>
            <w:rFonts w:ascii="Arial Nova" w:eastAsia="Arial" w:hAnsi="Arial Nova" w:cs="Arial"/>
            <w:color w:val="0000FF"/>
            <w:sz w:val="24"/>
            <w:szCs w:val="24"/>
          </w:rPr>
          <w:t>nsoviha</w:t>
        </w:r>
      </w:hyperlink>
      <w:hyperlink r:id="rId13">
        <w:r w:rsidR="005A4FC0" w:rsidRPr="001142C0">
          <w:rPr>
            <w:rFonts w:ascii="Arial Nova" w:eastAsia="Arial" w:hAnsi="Arial Nova" w:cs="Arial"/>
            <w:color w:val="0000FF"/>
            <w:sz w:val="24"/>
            <w:szCs w:val="24"/>
          </w:rPr>
          <w:t>@gmail.com</w:t>
        </w:r>
      </w:hyperlink>
      <w:r w:rsidR="005A4FC0" w:rsidRPr="001142C0">
        <w:rPr>
          <w:rFonts w:ascii="Arial Nova" w:eastAsia="Arial" w:hAnsi="Arial Nova" w:cs="Arial"/>
          <w:color w:val="000000"/>
          <w:sz w:val="24"/>
          <w:szCs w:val="24"/>
        </w:rPr>
        <w:t xml:space="preserve">, </w:t>
      </w:r>
      <w:hyperlink r:id="rId14">
        <w:r w:rsidR="005A4FC0" w:rsidRPr="001142C0">
          <w:rPr>
            <w:rFonts w:ascii="Arial Nova" w:eastAsia="Arial" w:hAnsi="Arial Nova" w:cs="Arial"/>
            <w:color w:val="0000FF"/>
            <w:sz w:val="24"/>
            <w:szCs w:val="24"/>
          </w:rPr>
          <w:t>nyshifa227@gmail.com</w:t>
        </w:r>
      </w:hyperlink>
      <w:r w:rsidR="005A4FC0" w:rsidRPr="001142C0">
        <w:rPr>
          <w:rFonts w:ascii="Arial Nova" w:eastAsia="Arial" w:hAnsi="Arial Nova" w:cs="Arial"/>
          <w:color w:val="000000"/>
          <w:sz w:val="24"/>
          <w:szCs w:val="24"/>
        </w:rPr>
        <w:t xml:space="preserve">, </w:t>
      </w:r>
      <w:hyperlink r:id="rId15">
        <w:r w:rsidR="005A4FC0" w:rsidRPr="001142C0">
          <w:rPr>
            <w:rFonts w:ascii="Arial Nova" w:eastAsia="Arial" w:hAnsi="Arial Nova" w:cs="Arial"/>
            <w:color w:val="0000FF"/>
            <w:sz w:val="24"/>
            <w:szCs w:val="24"/>
          </w:rPr>
          <w:t>silmiaulia455@gmail.com</w:t>
        </w:r>
      </w:hyperlink>
      <w:r w:rsidR="005A4FC0" w:rsidRPr="001142C0">
        <w:rPr>
          <w:rFonts w:ascii="Arial Nova" w:eastAsia="Arial" w:hAnsi="Arial Nova" w:cs="Arial"/>
          <w:color w:val="000000"/>
          <w:sz w:val="24"/>
          <w:szCs w:val="24"/>
        </w:rPr>
        <w:t xml:space="preserve">, </w:t>
      </w:r>
      <w:hyperlink r:id="rId16">
        <w:r w:rsidR="005A4FC0" w:rsidRPr="001142C0">
          <w:rPr>
            <w:rFonts w:ascii="Arial Nova" w:eastAsia="Arial" w:hAnsi="Arial Nova" w:cs="Arial"/>
            <w:color w:val="0000FF"/>
            <w:sz w:val="24"/>
            <w:szCs w:val="24"/>
          </w:rPr>
          <w:t>syadiah064@gmail.com</w:t>
        </w:r>
      </w:hyperlink>
      <w:r w:rsidR="005A4FC0" w:rsidRPr="001142C0">
        <w:rPr>
          <w:rFonts w:ascii="Arial Nova" w:eastAsia="Arial" w:hAnsi="Arial Nova" w:cs="Arial"/>
          <w:color w:val="000000"/>
          <w:sz w:val="24"/>
          <w:szCs w:val="24"/>
        </w:rPr>
        <w:t xml:space="preserve">, </w:t>
      </w:r>
      <w:hyperlink r:id="rId17">
        <w:r w:rsidR="005A4FC0" w:rsidRPr="001142C0">
          <w:rPr>
            <w:rFonts w:ascii="Arial Nova" w:eastAsia="Arial" w:hAnsi="Arial Nova" w:cs="Arial"/>
            <w:color w:val="0000FF"/>
            <w:sz w:val="24"/>
            <w:szCs w:val="24"/>
          </w:rPr>
          <w:t>24041124118@uniga.ac.id</w:t>
        </w:r>
      </w:hyperlink>
      <w:r w:rsidR="005A4FC0" w:rsidRPr="001142C0">
        <w:rPr>
          <w:rFonts w:ascii="Arial Nova" w:eastAsia="Arial" w:hAnsi="Arial Nova" w:cs="Arial"/>
          <w:color w:val="000000"/>
          <w:sz w:val="24"/>
          <w:szCs w:val="24"/>
        </w:rPr>
        <w:t xml:space="preserve"> </w:t>
      </w:r>
    </w:p>
    <w:p w14:paraId="591FBDA9" w14:textId="77777777" w:rsidR="005A4FC0" w:rsidRPr="001142C0" w:rsidRDefault="005A4FC0">
      <w:pPr>
        <w:pBdr>
          <w:top w:val="nil"/>
          <w:left w:val="nil"/>
          <w:bottom w:val="nil"/>
          <w:right w:val="nil"/>
          <w:between w:val="nil"/>
        </w:pBdr>
        <w:rPr>
          <w:rFonts w:ascii="Arial Nova" w:eastAsia="Arial" w:hAnsi="Arial Nova" w:cs="Arial"/>
          <w:color w:val="000000"/>
          <w:sz w:val="24"/>
          <w:szCs w:val="24"/>
        </w:rPr>
      </w:pPr>
    </w:p>
    <w:p w14:paraId="31BBE705" w14:textId="5A1E2D82" w:rsidR="005A4FC0" w:rsidRPr="001142C0" w:rsidRDefault="001142C0">
      <w:pPr>
        <w:pBdr>
          <w:top w:val="nil"/>
          <w:left w:val="nil"/>
          <w:bottom w:val="nil"/>
          <w:right w:val="nil"/>
          <w:between w:val="nil"/>
        </w:pBdr>
        <w:rPr>
          <w:rFonts w:ascii="Arial Nova" w:eastAsia="Arial" w:hAnsi="Arial Nova" w:cs="Arial"/>
          <w:b/>
          <w:bCs/>
          <w:color w:val="000000"/>
          <w:sz w:val="24"/>
          <w:szCs w:val="24"/>
        </w:rPr>
      </w:pPr>
      <w:r w:rsidRPr="00910227">
        <w:rPr>
          <w:rFonts w:ascii="Arial Nova" w:eastAsia="Arial" w:hAnsi="Arial Nova" w:cs="Arial"/>
          <w:b/>
          <w:bCs/>
          <w:i/>
          <w:color w:val="000000"/>
          <w:sz w:val="24"/>
          <w:szCs w:val="24"/>
        </w:rPr>
        <w:t>*</w:t>
      </w:r>
      <w:r w:rsidR="00C76877" w:rsidRPr="00910227">
        <w:rPr>
          <w:rFonts w:ascii="Arial Nova" w:eastAsia="Arial" w:hAnsi="Arial Nova" w:cs="Arial"/>
          <w:b/>
          <w:bCs/>
          <w:i/>
          <w:color w:val="000000"/>
          <w:sz w:val="24"/>
          <w:szCs w:val="24"/>
        </w:rPr>
        <w:t>Corresponding Author</w:t>
      </w:r>
      <w:r w:rsidR="00C76877" w:rsidRPr="001142C0">
        <w:rPr>
          <w:rFonts w:ascii="Arial Nova" w:eastAsia="Arial" w:hAnsi="Arial Nova" w:cs="Arial"/>
          <w:b/>
          <w:bCs/>
          <w:color w:val="000000"/>
          <w:sz w:val="24"/>
          <w:szCs w:val="24"/>
        </w:rPr>
        <w:t>:</w:t>
      </w:r>
      <w:r w:rsidR="00910227">
        <w:rPr>
          <w:rFonts w:ascii="Arial Nova" w:eastAsia="Arial" w:hAnsi="Arial Nova" w:cs="Arial"/>
          <w:b/>
          <w:bCs/>
          <w:color w:val="000000"/>
          <w:sz w:val="24"/>
          <w:szCs w:val="24"/>
        </w:rPr>
        <w:t xml:space="preserve"> </w:t>
      </w:r>
      <w:r w:rsidR="00910227" w:rsidRPr="00910227">
        <w:rPr>
          <w:rFonts w:ascii="Arial Nova" w:eastAsia="Arial" w:hAnsi="Arial Nova" w:cs="Arial"/>
          <w:bCs/>
          <w:color w:val="000000"/>
          <w:sz w:val="24"/>
          <w:szCs w:val="24"/>
        </w:rPr>
        <w:t>Amanda Salsabila</w:t>
      </w:r>
      <w:r w:rsidR="00C76877" w:rsidRPr="001142C0">
        <w:rPr>
          <w:rFonts w:ascii="Arial Nova" w:eastAsia="Arial" w:hAnsi="Arial Nova" w:cs="Arial"/>
          <w:color w:val="000000"/>
          <w:sz w:val="24"/>
          <w:szCs w:val="24"/>
        </w:rPr>
        <w:t xml:space="preserve"> </w:t>
      </w:r>
      <w:r w:rsidR="00910227">
        <w:rPr>
          <w:rFonts w:ascii="Arial Nova" w:hAnsi="Arial Nova"/>
        </w:rPr>
        <w:t>(</w:t>
      </w:r>
      <w:hyperlink r:id="rId18">
        <w:r w:rsidR="005A4FC0" w:rsidRPr="001142C0">
          <w:rPr>
            <w:rFonts w:ascii="Arial Nova" w:eastAsia="Arial" w:hAnsi="Arial Nova" w:cs="Arial"/>
            <w:color w:val="0000FF"/>
            <w:sz w:val="24"/>
            <w:szCs w:val="24"/>
          </w:rPr>
          <w:t>amandasalsabila206@gmail.com</w:t>
        </w:r>
      </w:hyperlink>
      <w:r w:rsidR="00910227" w:rsidRPr="00910227">
        <w:rPr>
          <w:rFonts w:ascii="Arial Nova" w:eastAsia="Arial" w:hAnsi="Arial Nova" w:cs="Arial"/>
          <w:sz w:val="24"/>
          <w:szCs w:val="24"/>
        </w:rPr>
        <w:t>)</w:t>
      </w:r>
    </w:p>
    <w:p w14:paraId="109A7081" w14:textId="77777777" w:rsidR="005A4FC0" w:rsidRPr="001142C0" w:rsidRDefault="005A4FC0">
      <w:pPr>
        <w:pBdr>
          <w:top w:val="nil"/>
          <w:left w:val="nil"/>
          <w:bottom w:val="nil"/>
          <w:right w:val="nil"/>
          <w:between w:val="nil"/>
        </w:pBdr>
        <w:rPr>
          <w:rFonts w:ascii="Arial Nova" w:eastAsia="Arial" w:hAnsi="Arial Nova" w:cs="Arial"/>
          <w:b/>
          <w:bCs/>
          <w:color w:val="000000"/>
          <w:sz w:val="22"/>
          <w:szCs w:val="22"/>
        </w:rPr>
      </w:pPr>
    </w:p>
    <w:tbl>
      <w:tblPr>
        <w:tblStyle w:val="a"/>
        <w:tblW w:w="939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417"/>
        <w:gridCol w:w="5919"/>
      </w:tblGrid>
      <w:tr w:rsidR="005A4FC0" w:rsidRPr="001142C0" w14:paraId="0BD7E599" w14:textId="77777777">
        <w:tc>
          <w:tcPr>
            <w:tcW w:w="3055" w:type="dxa"/>
            <w:tcBorders>
              <w:top w:val="single" w:sz="4" w:space="0" w:color="000000"/>
              <w:left w:val="nil"/>
              <w:bottom w:val="single" w:sz="4" w:space="0" w:color="000000"/>
              <w:right w:val="nil"/>
            </w:tcBorders>
          </w:tcPr>
          <w:p w14:paraId="0FDAB57F" w14:textId="77777777" w:rsidR="005A4FC0" w:rsidRPr="001142C0" w:rsidRDefault="00C76877">
            <w:pPr>
              <w:spacing w:before="120" w:after="120"/>
              <w:rPr>
                <w:rFonts w:ascii="Arial Nova" w:eastAsia="Arial" w:hAnsi="Arial Nova" w:cs="Arial"/>
                <w:b/>
                <w:bCs/>
                <w:sz w:val="24"/>
                <w:szCs w:val="24"/>
              </w:rPr>
            </w:pPr>
            <w:r w:rsidRPr="001142C0">
              <w:rPr>
                <w:rFonts w:ascii="Arial Nova" w:eastAsia="Arial" w:hAnsi="Arial Nova" w:cs="Arial"/>
                <w:b/>
                <w:bCs/>
                <w:sz w:val="24"/>
                <w:szCs w:val="24"/>
              </w:rPr>
              <w:t>INFO ARTIKEL</w:t>
            </w:r>
          </w:p>
        </w:tc>
        <w:tc>
          <w:tcPr>
            <w:tcW w:w="417" w:type="dxa"/>
            <w:tcBorders>
              <w:top w:val="single" w:sz="4" w:space="0" w:color="000000"/>
              <w:left w:val="nil"/>
              <w:bottom w:val="nil"/>
              <w:right w:val="nil"/>
            </w:tcBorders>
          </w:tcPr>
          <w:p w14:paraId="54717831" w14:textId="77777777" w:rsidR="005A4FC0" w:rsidRPr="001142C0" w:rsidRDefault="005A4FC0">
            <w:pPr>
              <w:spacing w:before="120" w:after="120"/>
              <w:rPr>
                <w:rFonts w:ascii="Arial Nova" w:eastAsia="Arial" w:hAnsi="Arial Nova" w:cs="Arial"/>
                <w:b/>
                <w:bCs/>
                <w:sz w:val="24"/>
                <w:szCs w:val="24"/>
              </w:rPr>
            </w:pPr>
          </w:p>
        </w:tc>
        <w:tc>
          <w:tcPr>
            <w:tcW w:w="5919" w:type="dxa"/>
            <w:tcBorders>
              <w:top w:val="single" w:sz="4" w:space="0" w:color="000000"/>
              <w:left w:val="nil"/>
              <w:bottom w:val="single" w:sz="4" w:space="0" w:color="000000"/>
              <w:right w:val="nil"/>
            </w:tcBorders>
          </w:tcPr>
          <w:p w14:paraId="201CCC57" w14:textId="77777777" w:rsidR="005A4FC0" w:rsidRPr="001142C0" w:rsidRDefault="00C76877">
            <w:pPr>
              <w:spacing w:before="120" w:after="120"/>
              <w:rPr>
                <w:rFonts w:ascii="Arial Nova" w:eastAsia="Arial" w:hAnsi="Arial Nova" w:cs="Arial"/>
                <w:sz w:val="24"/>
                <w:szCs w:val="24"/>
              </w:rPr>
            </w:pPr>
            <w:r w:rsidRPr="001142C0">
              <w:rPr>
                <w:rFonts w:ascii="Arial Nova" w:eastAsia="Arial" w:hAnsi="Arial Nova" w:cs="Arial"/>
                <w:color w:val="000000"/>
                <w:sz w:val="24"/>
                <w:szCs w:val="24"/>
              </w:rPr>
              <w:t xml:space="preserve">ABSTRAK </w:t>
            </w:r>
          </w:p>
        </w:tc>
      </w:tr>
      <w:tr w:rsidR="005A4FC0" w:rsidRPr="001142C0" w14:paraId="4D5C4549" w14:textId="77777777">
        <w:tc>
          <w:tcPr>
            <w:tcW w:w="3055" w:type="dxa"/>
            <w:tcBorders>
              <w:top w:val="single" w:sz="4" w:space="0" w:color="000000"/>
              <w:left w:val="nil"/>
              <w:bottom w:val="single" w:sz="4" w:space="0" w:color="000000"/>
              <w:right w:val="nil"/>
            </w:tcBorders>
          </w:tcPr>
          <w:p w14:paraId="748FD6B3" w14:textId="77777777" w:rsidR="005A4FC0" w:rsidRPr="001142C0" w:rsidRDefault="00C76877">
            <w:pPr>
              <w:jc w:val="both"/>
              <w:rPr>
                <w:rFonts w:ascii="Arial Nova" w:eastAsia="Arial" w:hAnsi="Arial Nova" w:cs="Arial"/>
                <w:b/>
                <w:bCs/>
              </w:rPr>
            </w:pPr>
            <w:r w:rsidRPr="001142C0">
              <w:rPr>
                <w:rFonts w:ascii="Arial Nova" w:eastAsia="Arial" w:hAnsi="Arial Nova" w:cs="Arial"/>
                <w:b/>
                <w:bCs/>
              </w:rPr>
              <w:t>Riwayat Artikel:</w:t>
            </w:r>
          </w:p>
          <w:p w14:paraId="4D2C931A" w14:textId="16381942" w:rsidR="005A4FC0" w:rsidRPr="001142C0" w:rsidRDefault="00C76877">
            <w:pPr>
              <w:jc w:val="both"/>
              <w:rPr>
                <w:rFonts w:ascii="Arial Nova" w:eastAsia="Arial" w:hAnsi="Arial Nova" w:cs="Arial"/>
              </w:rPr>
            </w:pPr>
            <w:r w:rsidRPr="001142C0">
              <w:rPr>
                <w:rFonts w:ascii="Arial Nova" w:eastAsia="Arial" w:hAnsi="Arial Nova" w:cs="Arial"/>
              </w:rPr>
              <w:t>Diterima:</w:t>
            </w:r>
            <w:r w:rsidR="001B201F">
              <w:rPr>
                <w:rFonts w:ascii="Arial Nova" w:eastAsia="Arial" w:hAnsi="Arial Nova" w:cs="Arial"/>
              </w:rPr>
              <w:t xml:space="preserve"> 23 Februari 2026</w:t>
            </w:r>
          </w:p>
          <w:p w14:paraId="421432DF" w14:textId="06926958" w:rsidR="005A4FC0" w:rsidRPr="001142C0" w:rsidRDefault="00C76877">
            <w:pPr>
              <w:jc w:val="both"/>
              <w:rPr>
                <w:rFonts w:ascii="Arial Nova" w:eastAsia="Arial" w:hAnsi="Arial Nova" w:cs="Arial"/>
              </w:rPr>
            </w:pPr>
            <w:r w:rsidRPr="001142C0">
              <w:rPr>
                <w:rFonts w:ascii="Arial Nova" w:eastAsia="Arial" w:hAnsi="Arial Nova" w:cs="Arial"/>
              </w:rPr>
              <w:t>Disetujui:</w:t>
            </w:r>
            <w:r w:rsidR="001B201F">
              <w:rPr>
                <w:rFonts w:ascii="Arial Nova" w:eastAsia="Arial" w:hAnsi="Arial Nova" w:cs="Arial"/>
              </w:rPr>
              <w:t xml:space="preserve"> 22 April 2026</w:t>
            </w:r>
          </w:p>
          <w:p w14:paraId="1BF07A78" w14:textId="77777777" w:rsidR="005A4FC0" w:rsidRPr="001142C0" w:rsidRDefault="005A4FC0">
            <w:pPr>
              <w:jc w:val="both"/>
              <w:rPr>
                <w:rFonts w:ascii="Arial Nova" w:eastAsia="Arial" w:hAnsi="Arial Nova" w:cs="Arial"/>
              </w:rPr>
            </w:pPr>
          </w:p>
        </w:tc>
        <w:tc>
          <w:tcPr>
            <w:tcW w:w="417" w:type="dxa"/>
            <w:vMerge w:val="restart"/>
            <w:tcBorders>
              <w:top w:val="nil"/>
              <w:left w:val="nil"/>
              <w:bottom w:val="nil"/>
              <w:right w:val="nil"/>
            </w:tcBorders>
          </w:tcPr>
          <w:p w14:paraId="7396FED2" w14:textId="77777777" w:rsidR="005A4FC0" w:rsidRPr="001142C0" w:rsidRDefault="005A4FC0">
            <w:pPr>
              <w:jc w:val="both"/>
              <w:rPr>
                <w:rFonts w:ascii="Arial Nova" w:eastAsia="Arial" w:hAnsi="Arial Nova" w:cs="Arial"/>
                <w:i/>
                <w:iCs/>
                <w:sz w:val="24"/>
                <w:szCs w:val="24"/>
              </w:rPr>
            </w:pPr>
          </w:p>
        </w:tc>
        <w:tc>
          <w:tcPr>
            <w:tcW w:w="5919" w:type="dxa"/>
            <w:vMerge w:val="restart"/>
            <w:tcBorders>
              <w:top w:val="single" w:sz="4" w:space="0" w:color="000000"/>
              <w:left w:val="nil"/>
              <w:bottom w:val="nil"/>
              <w:right w:val="nil"/>
            </w:tcBorders>
          </w:tcPr>
          <w:p w14:paraId="02BAA518" w14:textId="77777777" w:rsidR="005A4FC0" w:rsidRPr="001142C0" w:rsidRDefault="00C76877">
            <w:pPr>
              <w:jc w:val="both"/>
              <w:rPr>
                <w:rFonts w:ascii="Arial Nova" w:eastAsia="Arial" w:hAnsi="Arial Nova" w:cs="Arial"/>
                <w:sz w:val="22"/>
                <w:szCs w:val="22"/>
              </w:rPr>
            </w:pPr>
            <w:r w:rsidRPr="001142C0">
              <w:rPr>
                <w:rFonts w:ascii="Arial Nova" w:eastAsia="Arial" w:hAnsi="Arial Nova" w:cs="Arial"/>
                <w:sz w:val="22"/>
                <w:szCs w:val="22"/>
              </w:rPr>
              <w:t xml:space="preserve">Obat merupakan kebutuhan esensial, namun aspek kehalalan obat masih kurang dipahami oleh masyarakat, terutama di wilayah perkampungan. Adanya sertifikasi halal diperlukan untuk menjamin keamanan sekaligus kepatuhan terhadap syariat Islam, mengingat banyak obat mengandung bahan kritis seperti gelatin, enzim, dan pelarut alkohol. Namun masih banyak masyarakat yang belum mengetahui bagaimana cara memilih obat halal. Sehingga Kegiatan Pengabdian Kepada Masyarakat (PKM) ini bertujuan meningkatkan pengetahuan dan kesadaran mengenai obat halal. Program ini dilaksanakan di Kampung Cijugul, Desa Mekarwangi, Kabupaten Garut dengan melibatkan 30 peserta dari kelompok ibu-ibu pengajian. Metode yang digunakan berupa observasi kuantitatif melalui kuesioner, penyuluhan lisan, media </w:t>
            </w:r>
            <w:r w:rsidRPr="001142C0">
              <w:rPr>
                <w:rFonts w:ascii="Arial Nova" w:eastAsia="Arial" w:hAnsi="Arial Nova" w:cs="Arial"/>
                <w:i/>
                <w:iCs/>
                <w:sz w:val="22"/>
                <w:szCs w:val="22"/>
              </w:rPr>
              <w:t>leaflet</w:t>
            </w:r>
            <w:r w:rsidRPr="001142C0">
              <w:rPr>
                <w:rFonts w:ascii="Arial Nova" w:eastAsia="Arial" w:hAnsi="Arial Nova" w:cs="Arial"/>
                <w:sz w:val="22"/>
                <w:szCs w:val="22"/>
              </w:rPr>
              <w:t>, serta evaluasi. Hasil menunjukkan hanya 33,3% peserta memahami definisi obat halal, sementara 66,7% belum mengetahuinya. Sebanyak 60% responden belum mengenali ciri-ciri obat halal secara lengkap, meskipun 73,3% sudah mengenal logo halal. Temuan ini menegaskan adanya kesenjangan pengetahuan yang perlu diatasi melalui edukasi berkelanjutan. PKM terbukti efektif dalam meningkatkan literasi kesehatan serta memperkuat kesadaran masyarakat terhadap pemilihan obat halal.</w:t>
            </w:r>
          </w:p>
        </w:tc>
      </w:tr>
      <w:tr w:rsidR="005A4FC0" w:rsidRPr="001142C0" w14:paraId="0255BC71" w14:textId="77777777">
        <w:tc>
          <w:tcPr>
            <w:tcW w:w="3055" w:type="dxa"/>
            <w:tcBorders>
              <w:top w:val="single" w:sz="4" w:space="0" w:color="000000"/>
              <w:left w:val="nil"/>
              <w:bottom w:val="single" w:sz="4" w:space="0" w:color="000000"/>
              <w:right w:val="nil"/>
            </w:tcBorders>
          </w:tcPr>
          <w:p w14:paraId="5C446161" w14:textId="77777777" w:rsidR="001142C0" w:rsidRDefault="00C76877">
            <w:pPr>
              <w:jc w:val="both"/>
              <w:rPr>
                <w:rFonts w:ascii="Arial Nova" w:eastAsia="Arial" w:hAnsi="Arial Nova" w:cs="Arial"/>
                <w:b/>
                <w:bCs/>
              </w:rPr>
            </w:pPr>
            <w:r w:rsidRPr="001142C0">
              <w:rPr>
                <w:rFonts w:ascii="Arial Nova" w:eastAsia="Arial" w:hAnsi="Arial Nova" w:cs="Arial"/>
                <w:b/>
                <w:bCs/>
              </w:rPr>
              <w:t xml:space="preserve">Kata Kunci: </w:t>
            </w:r>
          </w:p>
          <w:p w14:paraId="5249A232" w14:textId="4442953F" w:rsidR="001142C0" w:rsidRPr="001142C0" w:rsidRDefault="001142C0">
            <w:pPr>
              <w:jc w:val="both"/>
              <w:rPr>
                <w:rFonts w:ascii="Arial Nova" w:eastAsia="Arial" w:hAnsi="Arial Nova" w:cs="Arial"/>
                <w:bCs/>
              </w:rPr>
            </w:pPr>
            <w:r>
              <w:rPr>
                <w:rFonts w:ascii="Arial Nova" w:eastAsia="Arial" w:hAnsi="Arial Nova" w:cs="Arial"/>
                <w:bCs/>
              </w:rPr>
              <w:t xml:space="preserve">Ciri-ciri obat halal, </w:t>
            </w:r>
            <w:r w:rsidR="00910227">
              <w:rPr>
                <w:rFonts w:ascii="Arial Nova" w:eastAsia="Arial" w:hAnsi="Arial Nova" w:cs="Arial"/>
                <w:bCs/>
              </w:rPr>
              <w:t>kesadaran masyarakat, obat halal, sertifikat halal.</w:t>
            </w:r>
          </w:p>
          <w:p w14:paraId="54714653" w14:textId="77777777" w:rsidR="005A4FC0" w:rsidRPr="001142C0" w:rsidRDefault="005A4FC0" w:rsidP="00910227">
            <w:pPr>
              <w:jc w:val="both"/>
              <w:rPr>
                <w:rFonts w:ascii="Arial Nova" w:eastAsia="Arial" w:hAnsi="Arial Nova" w:cs="Arial"/>
              </w:rPr>
            </w:pPr>
          </w:p>
        </w:tc>
        <w:tc>
          <w:tcPr>
            <w:tcW w:w="417" w:type="dxa"/>
            <w:vMerge/>
            <w:tcBorders>
              <w:top w:val="nil"/>
              <w:left w:val="nil"/>
              <w:bottom w:val="nil"/>
              <w:right w:val="nil"/>
            </w:tcBorders>
          </w:tcPr>
          <w:p w14:paraId="18A3CBC6" w14:textId="77777777" w:rsidR="005A4FC0" w:rsidRPr="001142C0" w:rsidRDefault="005A4FC0">
            <w:pPr>
              <w:widowControl w:val="0"/>
              <w:pBdr>
                <w:top w:val="nil"/>
                <w:left w:val="nil"/>
                <w:bottom w:val="nil"/>
                <w:right w:val="nil"/>
                <w:between w:val="nil"/>
              </w:pBdr>
              <w:spacing w:line="276" w:lineRule="auto"/>
              <w:jc w:val="left"/>
              <w:rPr>
                <w:rFonts w:ascii="Arial Nova" w:eastAsia="Arial" w:hAnsi="Arial Nova" w:cs="Arial"/>
              </w:rPr>
            </w:pPr>
          </w:p>
        </w:tc>
        <w:tc>
          <w:tcPr>
            <w:tcW w:w="5919" w:type="dxa"/>
            <w:vMerge/>
            <w:tcBorders>
              <w:top w:val="single" w:sz="4" w:space="0" w:color="000000"/>
              <w:left w:val="nil"/>
              <w:bottom w:val="nil"/>
              <w:right w:val="nil"/>
            </w:tcBorders>
          </w:tcPr>
          <w:p w14:paraId="5ECD3ACD" w14:textId="77777777" w:rsidR="005A4FC0" w:rsidRPr="001142C0" w:rsidRDefault="005A4FC0">
            <w:pPr>
              <w:widowControl w:val="0"/>
              <w:pBdr>
                <w:top w:val="nil"/>
                <w:left w:val="nil"/>
                <w:bottom w:val="nil"/>
                <w:right w:val="nil"/>
                <w:between w:val="nil"/>
              </w:pBdr>
              <w:spacing w:line="276" w:lineRule="auto"/>
              <w:jc w:val="left"/>
              <w:rPr>
                <w:rFonts w:ascii="Arial Nova" w:eastAsia="Arial" w:hAnsi="Arial Nova" w:cs="Arial"/>
              </w:rPr>
            </w:pPr>
          </w:p>
        </w:tc>
      </w:tr>
      <w:tr w:rsidR="005A4FC0" w:rsidRPr="001142C0" w14:paraId="091D0121" w14:textId="77777777">
        <w:tc>
          <w:tcPr>
            <w:tcW w:w="3055" w:type="dxa"/>
            <w:tcBorders>
              <w:top w:val="single" w:sz="4" w:space="0" w:color="000000"/>
              <w:left w:val="nil"/>
              <w:bottom w:val="single" w:sz="4" w:space="0" w:color="000000"/>
              <w:right w:val="nil"/>
            </w:tcBorders>
          </w:tcPr>
          <w:p w14:paraId="2E2AF918" w14:textId="77777777" w:rsidR="005A4FC0" w:rsidRPr="001142C0" w:rsidRDefault="005A4FC0">
            <w:pPr>
              <w:rPr>
                <w:rFonts w:ascii="Arial Nova" w:eastAsia="Arial" w:hAnsi="Arial Nova" w:cs="Arial"/>
                <w:b/>
                <w:bCs/>
                <w:i/>
                <w:iCs/>
                <w:sz w:val="24"/>
                <w:szCs w:val="24"/>
              </w:rPr>
            </w:pPr>
          </w:p>
        </w:tc>
        <w:tc>
          <w:tcPr>
            <w:tcW w:w="417" w:type="dxa"/>
            <w:tcBorders>
              <w:top w:val="single" w:sz="4" w:space="0" w:color="000000"/>
              <w:left w:val="nil"/>
              <w:bottom w:val="single" w:sz="4" w:space="0" w:color="000000"/>
              <w:right w:val="nil"/>
            </w:tcBorders>
          </w:tcPr>
          <w:p w14:paraId="41A2D07C" w14:textId="77777777" w:rsidR="005A4FC0" w:rsidRPr="001142C0" w:rsidRDefault="005A4FC0">
            <w:pPr>
              <w:rPr>
                <w:rFonts w:ascii="Arial Nova" w:eastAsia="Arial" w:hAnsi="Arial Nova" w:cs="Arial"/>
                <w:b/>
                <w:bCs/>
                <w:i/>
                <w:iCs/>
                <w:sz w:val="24"/>
                <w:szCs w:val="24"/>
              </w:rPr>
            </w:pPr>
          </w:p>
        </w:tc>
        <w:tc>
          <w:tcPr>
            <w:tcW w:w="5919" w:type="dxa"/>
            <w:tcBorders>
              <w:top w:val="single" w:sz="4" w:space="0" w:color="000000"/>
              <w:left w:val="nil"/>
              <w:bottom w:val="single" w:sz="4" w:space="0" w:color="000000"/>
              <w:right w:val="nil"/>
            </w:tcBorders>
          </w:tcPr>
          <w:p w14:paraId="1E24E975" w14:textId="77777777" w:rsidR="005A4FC0" w:rsidRPr="001142C0" w:rsidRDefault="005A4FC0">
            <w:pPr>
              <w:rPr>
                <w:rFonts w:ascii="Arial Nova" w:eastAsia="Arial" w:hAnsi="Arial Nova" w:cs="Arial"/>
                <w:b/>
                <w:bCs/>
                <w:i/>
                <w:iCs/>
                <w:sz w:val="24"/>
                <w:szCs w:val="24"/>
              </w:rPr>
            </w:pPr>
          </w:p>
        </w:tc>
      </w:tr>
      <w:tr w:rsidR="005A4FC0" w:rsidRPr="001142C0" w14:paraId="6FD5E1EA" w14:textId="77777777">
        <w:tc>
          <w:tcPr>
            <w:tcW w:w="3055" w:type="dxa"/>
            <w:tcBorders>
              <w:top w:val="single" w:sz="4" w:space="0" w:color="000000"/>
              <w:left w:val="nil"/>
              <w:bottom w:val="single" w:sz="4" w:space="0" w:color="000000"/>
              <w:right w:val="nil"/>
            </w:tcBorders>
          </w:tcPr>
          <w:p w14:paraId="38C0F760" w14:textId="77777777" w:rsidR="005A4FC0" w:rsidRPr="001142C0" w:rsidRDefault="00C76877">
            <w:pPr>
              <w:spacing w:before="120" w:after="120"/>
              <w:rPr>
                <w:rFonts w:ascii="Arial Nova" w:eastAsia="Arial" w:hAnsi="Arial Nova" w:cs="Arial"/>
                <w:b/>
                <w:bCs/>
                <w:i/>
                <w:iCs/>
                <w:sz w:val="24"/>
                <w:szCs w:val="24"/>
              </w:rPr>
            </w:pPr>
            <w:r w:rsidRPr="001142C0">
              <w:rPr>
                <w:rFonts w:ascii="Arial Nova" w:eastAsia="Arial" w:hAnsi="Arial Nova" w:cs="Arial"/>
                <w:b/>
                <w:bCs/>
                <w:i/>
                <w:iCs/>
                <w:sz w:val="24"/>
                <w:szCs w:val="24"/>
              </w:rPr>
              <w:t>ARTICLE INFO</w:t>
            </w:r>
          </w:p>
        </w:tc>
        <w:tc>
          <w:tcPr>
            <w:tcW w:w="417" w:type="dxa"/>
            <w:tcBorders>
              <w:top w:val="single" w:sz="4" w:space="0" w:color="000000"/>
              <w:left w:val="nil"/>
              <w:bottom w:val="single" w:sz="4" w:space="0" w:color="000000"/>
              <w:right w:val="nil"/>
            </w:tcBorders>
          </w:tcPr>
          <w:p w14:paraId="5DDEF40B" w14:textId="77777777" w:rsidR="005A4FC0" w:rsidRPr="001142C0" w:rsidRDefault="005A4FC0">
            <w:pPr>
              <w:spacing w:before="120" w:after="120"/>
              <w:rPr>
                <w:rFonts w:ascii="Arial Nova" w:eastAsia="Arial" w:hAnsi="Arial Nova" w:cs="Arial"/>
                <w:b/>
                <w:bCs/>
                <w:i/>
                <w:iCs/>
                <w:sz w:val="24"/>
                <w:szCs w:val="24"/>
              </w:rPr>
            </w:pPr>
          </w:p>
        </w:tc>
        <w:tc>
          <w:tcPr>
            <w:tcW w:w="5919" w:type="dxa"/>
            <w:tcBorders>
              <w:top w:val="single" w:sz="4" w:space="0" w:color="000000"/>
              <w:left w:val="nil"/>
              <w:bottom w:val="single" w:sz="4" w:space="0" w:color="000000"/>
              <w:right w:val="nil"/>
            </w:tcBorders>
          </w:tcPr>
          <w:p w14:paraId="4D451F7D" w14:textId="77777777" w:rsidR="005A4FC0" w:rsidRPr="001142C0" w:rsidRDefault="00C76877">
            <w:pPr>
              <w:spacing w:before="120" w:after="120"/>
              <w:rPr>
                <w:rFonts w:ascii="Arial Nova" w:eastAsia="Arial" w:hAnsi="Arial Nova" w:cs="Arial"/>
                <w:b/>
                <w:bCs/>
                <w:i/>
                <w:iCs/>
                <w:sz w:val="24"/>
                <w:szCs w:val="24"/>
              </w:rPr>
            </w:pPr>
            <w:r w:rsidRPr="001142C0">
              <w:rPr>
                <w:rFonts w:ascii="Arial Nova" w:eastAsia="Arial" w:hAnsi="Arial Nova" w:cs="Arial"/>
                <w:b/>
                <w:bCs/>
                <w:i/>
                <w:iCs/>
                <w:color w:val="000000"/>
                <w:sz w:val="24"/>
                <w:szCs w:val="24"/>
              </w:rPr>
              <w:t xml:space="preserve">ABSTRACT </w:t>
            </w:r>
          </w:p>
        </w:tc>
      </w:tr>
      <w:tr w:rsidR="005A4FC0" w:rsidRPr="001142C0" w14:paraId="62B0BBCB" w14:textId="77777777">
        <w:tc>
          <w:tcPr>
            <w:tcW w:w="3055" w:type="dxa"/>
            <w:tcBorders>
              <w:top w:val="single" w:sz="4" w:space="0" w:color="000000"/>
              <w:left w:val="nil"/>
              <w:bottom w:val="single" w:sz="4" w:space="0" w:color="000000"/>
              <w:right w:val="nil"/>
            </w:tcBorders>
          </w:tcPr>
          <w:p w14:paraId="7B48B03C" w14:textId="77777777" w:rsidR="005A4FC0" w:rsidRPr="001142C0" w:rsidRDefault="00C76877">
            <w:pPr>
              <w:jc w:val="both"/>
              <w:rPr>
                <w:rFonts w:ascii="Arial Nova" w:eastAsia="Arial" w:hAnsi="Arial Nova" w:cs="Arial"/>
                <w:b/>
                <w:bCs/>
                <w:i/>
                <w:iCs/>
              </w:rPr>
            </w:pPr>
            <w:r w:rsidRPr="001142C0">
              <w:rPr>
                <w:rFonts w:ascii="Arial Nova" w:eastAsia="Arial" w:hAnsi="Arial Nova" w:cs="Arial"/>
                <w:b/>
                <w:bCs/>
                <w:i/>
                <w:iCs/>
              </w:rPr>
              <w:t>Article History:</w:t>
            </w:r>
          </w:p>
          <w:p w14:paraId="2E9DF318" w14:textId="42104378" w:rsidR="005A4FC0" w:rsidRPr="001142C0" w:rsidRDefault="00C76877">
            <w:pPr>
              <w:jc w:val="both"/>
              <w:rPr>
                <w:rFonts w:ascii="Arial Nova" w:eastAsia="Arial" w:hAnsi="Arial Nova" w:cs="Arial"/>
                <w:i/>
                <w:iCs/>
              </w:rPr>
            </w:pPr>
            <w:r w:rsidRPr="001142C0">
              <w:rPr>
                <w:rFonts w:ascii="Arial Nova" w:eastAsia="Arial" w:hAnsi="Arial Nova" w:cs="Arial"/>
                <w:i/>
                <w:iCs/>
              </w:rPr>
              <w:t>Received:</w:t>
            </w:r>
            <w:r w:rsidR="001B201F">
              <w:rPr>
                <w:rFonts w:ascii="Arial Nova" w:eastAsia="Arial" w:hAnsi="Arial Nova" w:cs="Arial"/>
                <w:i/>
                <w:iCs/>
              </w:rPr>
              <w:t xml:space="preserve"> February 23, 2026</w:t>
            </w:r>
          </w:p>
          <w:p w14:paraId="7C83BEF3" w14:textId="20536D75" w:rsidR="005A4FC0" w:rsidRPr="001142C0" w:rsidRDefault="00C76877">
            <w:pPr>
              <w:jc w:val="both"/>
              <w:rPr>
                <w:rFonts w:ascii="Arial Nova" w:eastAsia="Arial" w:hAnsi="Arial Nova" w:cs="Arial"/>
                <w:i/>
                <w:iCs/>
              </w:rPr>
            </w:pPr>
            <w:r w:rsidRPr="001142C0">
              <w:rPr>
                <w:rFonts w:ascii="Arial Nova" w:eastAsia="Arial" w:hAnsi="Arial Nova" w:cs="Arial"/>
                <w:i/>
                <w:iCs/>
              </w:rPr>
              <w:lastRenderedPageBreak/>
              <w:t>Accepted:</w:t>
            </w:r>
            <w:r w:rsidR="001B201F">
              <w:rPr>
                <w:rFonts w:ascii="Arial Nova" w:eastAsia="Arial" w:hAnsi="Arial Nova" w:cs="Arial"/>
                <w:i/>
                <w:iCs/>
              </w:rPr>
              <w:t xml:space="preserve"> April 22, 2026</w:t>
            </w:r>
          </w:p>
          <w:p w14:paraId="65416B4F" w14:textId="77777777" w:rsidR="005A4FC0" w:rsidRPr="001142C0" w:rsidRDefault="00C76877">
            <w:pPr>
              <w:jc w:val="both"/>
              <w:rPr>
                <w:rFonts w:ascii="Arial Nova" w:eastAsia="Arial" w:hAnsi="Arial Nova" w:cs="Arial"/>
                <w:i/>
                <w:iCs/>
              </w:rPr>
            </w:pPr>
            <w:r w:rsidRPr="001142C0">
              <w:rPr>
                <w:rFonts w:ascii="Arial Nova" w:eastAsia="Arial" w:hAnsi="Arial Nova" w:cs="Arial"/>
                <w:i/>
                <w:iCs/>
              </w:rPr>
              <w:t xml:space="preserve"> </w:t>
            </w:r>
          </w:p>
        </w:tc>
        <w:tc>
          <w:tcPr>
            <w:tcW w:w="417" w:type="dxa"/>
            <w:tcBorders>
              <w:top w:val="single" w:sz="4" w:space="0" w:color="000000"/>
              <w:left w:val="nil"/>
              <w:bottom w:val="nil"/>
              <w:right w:val="nil"/>
            </w:tcBorders>
          </w:tcPr>
          <w:p w14:paraId="19BE996E" w14:textId="77777777" w:rsidR="005A4FC0" w:rsidRPr="001142C0" w:rsidRDefault="005A4FC0">
            <w:pPr>
              <w:jc w:val="both"/>
              <w:rPr>
                <w:rFonts w:ascii="Arial Nova" w:eastAsia="Arial" w:hAnsi="Arial Nova" w:cs="Arial"/>
                <w:i/>
                <w:iCs/>
                <w:sz w:val="24"/>
                <w:szCs w:val="24"/>
              </w:rPr>
            </w:pPr>
          </w:p>
        </w:tc>
        <w:tc>
          <w:tcPr>
            <w:tcW w:w="5919" w:type="dxa"/>
            <w:vMerge w:val="restart"/>
            <w:tcBorders>
              <w:top w:val="single" w:sz="4" w:space="0" w:color="000000"/>
              <w:left w:val="nil"/>
              <w:bottom w:val="single" w:sz="4" w:space="0" w:color="000000"/>
              <w:right w:val="nil"/>
            </w:tcBorders>
          </w:tcPr>
          <w:p w14:paraId="4010E1BC" w14:textId="77777777" w:rsidR="005A4FC0" w:rsidRPr="001142C0" w:rsidRDefault="00C76877">
            <w:pPr>
              <w:jc w:val="both"/>
              <w:rPr>
                <w:rFonts w:ascii="Arial Nova" w:eastAsia="Arial" w:hAnsi="Arial Nova" w:cs="Arial"/>
                <w:i/>
                <w:iCs/>
                <w:sz w:val="22"/>
                <w:szCs w:val="22"/>
              </w:rPr>
            </w:pPr>
            <w:r w:rsidRPr="001142C0">
              <w:rPr>
                <w:rFonts w:ascii="Arial Nova" w:eastAsia="Arial" w:hAnsi="Arial Nova" w:cs="Arial"/>
                <w:i/>
                <w:iCs/>
                <w:sz w:val="22"/>
                <w:szCs w:val="22"/>
              </w:rPr>
              <w:t>Medicine is an essential need; however, the halal aspect of medicine is still poorly understood by the community, especially in rural areas. Halal certification is necessary to ensure safety as well as compliance with Islamic law, considering that many medicines contain critical ingredients such as gelatin, enzymes, and alcohol-based solvents. Yet, many people still do not know how to choose halal medicines. Therefore, this Community Service Program (PKM) aims to increase knowledge and awareness regarding halal medicines. The program was carried out in Kampung Cijugul, Mekarwangi Village, Garut Regency, involving 30 participants from a women’s religious study group. The methods used included quantitative observation through questionnaires, oral counseling, leaflet media, and evaluation. The results showed that only 33.3% of participants understood the definition of halal medicine, while 66.7% did not. As many as 60% of respondents had not fully recognized the characteristics of halal medicine, although 73.3% were already familiar with the halal logo. These findings highlight a knowledge gap that needs to be addressed through continuous education. The PKM proved effective in improving health literacy and strengthening community awareness of choosing halal medicines.</w:t>
            </w:r>
          </w:p>
        </w:tc>
      </w:tr>
      <w:tr w:rsidR="005A4FC0" w:rsidRPr="001142C0" w14:paraId="57F2B393" w14:textId="77777777">
        <w:tc>
          <w:tcPr>
            <w:tcW w:w="3055" w:type="dxa"/>
            <w:tcBorders>
              <w:top w:val="single" w:sz="4" w:space="0" w:color="000000"/>
              <w:left w:val="nil"/>
              <w:bottom w:val="single" w:sz="4" w:space="0" w:color="000000"/>
              <w:right w:val="nil"/>
            </w:tcBorders>
          </w:tcPr>
          <w:p w14:paraId="49645AF1" w14:textId="77777777" w:rsidR="00910227" w:rsidRDefault="00C76877">
            <w:pPr>
              <w:jc w:val="left"/>
              <w:rPr>
                <w:rFonts w:ascii="Arial Nova" w:eastAsia="Arial" w:hAnsi="Arial Nova" w:cs="Arial"/>
                <w:i/>
                <w:iCs/>
              </w:rPr>
            </w:pPr>
            <w:r w:rsidRPr="001142C0">
              <w:rPr>
                <w:rFonts w:ascii="Arial Nova" w:eastAsia="Arial" w:hAnsi="Arial Nova" w:cs="Arial"/>
                <w:b/>
                <w:bCs/>
                <w:i/>
                <w:iCs/>
              </w:rPr>
              <w:lastRenderedPageBreak/>
              <w:t>Keywords</w:t>
            </w:r>
            <w:r w:rsidRPr="001142C0">
              <w:rPr>
                <w:rFonts w:ascii="Arial Nova" w:eastAsia="Arial" w:hAnsi="Arial Nova" w:cs="Arial"/>
                <w:i/>
                <w:iCs/>
              </w:rPr>
              <w:t xml:space="preserve">: </w:t>
            </w:r>
          </w:p>
          <w:p w14:paraId="31213410" w14:textId="6AC3FF88" w:rsidR="005A4FC0" w:rsidRPr="001142C0" w:rsidRDefault="00910227">
            <w:pPr>
              <w:jc w:val="left"/>
              <w:rPr>
                <w:rFonts w:ascii="Arial Nova" w:eastAsia="Arial" w:hAnsi="Arial Nova" w:cs="Arial"/>
                <w:b/>
                <w:bCs/>
                <w:i/>
                <w:iCs/>
              </w:rPr>
            </w:pPr>
            <w:r w:rsidRPr="001142C0">
              <w:rPr>
                <w:rFonts w:ascii="Arial Nova" w:eastAsia="Arial" w:hAnsi="Arial Nova" w:cs="Arial"/>
                <w:i/>
                <w:iCs/>
              </w:rPr>
              <w:t>Certification,</w:t>
            </w:r>
            <w:r>
              <w:rPr>
                <w:rFonts w:ascii="Arial Nova" w:eastAsia="Arial" w:hAnsi="Arial Nova" w:cs="Arial"/>
                <w:i/>
                <w:iCs/>
              </w:rPr>
              <w:t xml:space="preserve"> community a</w:t>
            </w:r>
            <w:r w:rsidRPr="001142C0">
              <w:rPr>
                <w:rFonts w:ascii="Arial Nova" w:eastAsia="Arial" w:hAnsi="Arial Nova" w:cs="Arial"/>
                <w:i/>
                <w:iCs/>
              </w:rPr>
              <w:t>wareness</w:t>
            </w:r>
            <w:r>
              <w:rPr>
                <w:rFonts w:ascii="Arial Nova" w:eastAsia="Arial" w:hAnsi="Arial Nova" w:cs="Arial"/>
                <w:i/>
                <w:iCs/>
              </w:rPr>
              <w:t>, h</w:t>
            </w:r>
            <w:r w:rsidRPr="001142C0">
              <w:rPr>
                <w:rFonts w:ascii="Arial Nova" w:eastAsia="Arial" w:hAnsi="Arial Nova" w:cs="Arial"/>
                <w:i/>
                <w:iCs/>
              </w:rPr>
              <w:t xml:space="preserve">alal </w:t>
            </w:r>
            <w:r>
              <w:rPr>
                <w:rFonts w:ascii="Arial Nova" w:eastAsia="Arial" w:hAnsi="Arial Nova" w:cs="Arial"/>
                <w:i/>
                <w:iCs/>
              </w:rPr>
              <w:t>characteristics of halal m</w:t>
            </w:r>
            <w:r w:rsidRPr="001142C0">
              <w:rPr>
                <w:rFonts w:ascii="Arial Nova" w:eastAsia="Arial" w:hAnsi="Arial Nova" w:cs="Arial"/>
                <w:i/>
                <w:iCs/>
              </w:rPr>
              <w:t>edicine</w:t>
            </w:r>
            <w:r>
              <w:rPr>
                <w:rFonts w:ascii="Arial Nova" w:eastAsia="Arial" w:hAnsi="Arial Nova" w:cs="Arial"/>
                <w:i/>
                <w:iCs/>
              </w:rPr>
              <w:t>, halal medicine.</w:t>
            </w:r>
          </w:p>
          <w:p w14:paraId="61D71111" w14:textId="3B9AE610" w:rsidR="001B201F" w:rsidRDefault="001B201F">
            <w:pPr>
              <w:jc w:val="both"/>
              <w:rPr>
                <w:rFonts w:ascii="Arial Nova" w:eastAsia="Arial" w:hAnsi="Arial Nova" w:cs="Arial"/>
                <w:i/>
                <w:iCs/>
              </w:rPr>
            </w:pPr>
          </w:p>
          <w:p w14:paraId="356FEABC" w14:textId="77777777" w:rsidR="001B201F" w:rsidRPr="001B201F" w:rsidRDefault="001B201F" w:rsidP="001B201F">
            <w:pPr>
              <w:rPr>
                <w:rFonts w:ascii="Arial Nova" w:eastAsia="Arial" w:hAnsi="Arial Nova" w:cs="Arial"/>
              </w:rPr>
            </w:pPr>
          </w:p>
          <w:p w14:paraId="38C90C0C" w14:textId="77777777" w:rsidR="001B201F" w:rsidRPr="001B201F" w:rsidRDefault="001B201F" w:rsidP="001B201F">
            <w:pPr>
              <w:rPr>
                <w:rFonts w:ascii="Arial Nova" w:eastAsia="Arial" w:hAnsi="Arial Nova" w:cs="Arial"/>
              </w:rPr>
            </w:pPr>
          </w:p>
          <w:p w14:paraId="0FD31D77" w14:textId="77777777" w:rsidR="001B201F" w:rsidRPr="001B201F" w:rsidRDefault="001B201F" w:rsidP="001B201F">
            <w:pPr>
              <w:rPr>
                <w:rFonts w:ascii="Arial Nova" w:eastAsia="Arial" w:hAnsi="Arial Nova" w:cs="Arial"/>
              </w:rPr>
            </w:pPr>
          </w:p>
          <w:p w14:paraId="6CF877A0" w14:textId="77777777" w:rsidR="001B201F" w:rsidRPr="001B201F" w:rsidRDefault="001B201F" w:rsidP="001B201F">
            <w:pPr>
              <w:rPr>
                <w:rFonts w:ascii="Arial Nova" w:eastAsia="Arial" w:hAnsi="Arial Nova" w:cs="Arial"/>
              </w:rPr>
            </w:pPr>
          </w:p>
          <w:p w14:paraId="3B35F90A" w14:textId="77777777" w:rsidR="001B201F" w:rsidRPr="001B201F" w:rsidRDefault="001B201F" w:rsidP="001B201F">
            <w:pPr>
              <w:rPr>
                <w:rFonts w:ascii="Arial Nova" w:eastAsia="Arial" w:hAnsi="Arial Nova" w:cs="Arial"/>
              </w:rPr>
            </w:pPr>
          </w:p>
          <w:p w14:paraId="2F561765" w14:textId="77777777" w:rsidR="001B201F" w:rsidRPr="001B201F" w:rsidRDefault="001B201F" w:rsidP="001B201F">
            <w:pPr>
              <w:rPr>
                <w:rFonts w:ascii="Arial Nova" w:eastAsia="Arial" w:hAnsi="Arial Nova" w:cs="Arial"/>
              </w:rPr>
            </w:pPr>
          </w:p>
          <w:p w14:paraId="7D5DF88D" w14:textId="77777777" w:rsidR="001B201F" w:rsidRPr="001B201F" w:rsidRDefault="001B201F" w:rsidP="001B201F">
            <w:pPr>
              <w:rPr>
                <w:rFonts w:ascii="Arial Nova" w:eastAsia="Arial" w:hAnsi="Arial Nova" w:cs="Arial"/>
              </w:rPr>
            </w:pPr>
          </w:p>
          <w:p w14:paraId="5C7FD0D5" w14:textId="77777777" w:rsidR="001B201F" w:rsidRPr="001B201F" w:rsidRDefault="001B201F" w:rsidP="001B201F">
            <w:pPr>
              <w:rPr>
                <w:rFonts w:ascii="Arial Nova" w:eastAsia="Arial" w:hAnsi="Arial Nova" w:cs="Arial"/>
              </w:rPr>
            </w:pPr>
          </w:p>
          <w:p w14:paraId="4CE5B27D" w14:textId="77777777" w:rsidR="001B201F" w:rsidRPr="001B201F" w:rsidRDefault="001B201F" w:rsidP="001B201F">
            <w:pPr>
              <w:rPr>
                <w:rFonts w:ascii="Arial Nova" w:eastAsia="Arial" w:hAnsi="Arial Nova" w:cs="Arial"/>
              </w:rPr>
            </w:pPr>
          </w:p>
          <w:p w14:paraId="4078D55F" w14:textId="22FD4805" w:rsidR="001B201F" w:rsidRDefault="001B201F" w:rsidP="001B201F">
            <w:pPr>
              <w:rPr>
                <w:rFonts w:ascii="Arial Nova" w:eastAsia="Arial" w:hAnsi="Arial Nova" w:cs="Arial"/>
              </w:rPr>
            </w:pPr>
          </w:p>
          <w:p w14:paraId="69C09CCA" w14:textId="77777777" w:rsidR="005A4FC0" w:rsidRPr="001B201F" w:rsidRDefault="005A4FC0" w:rsidP="001B201F">
            <w:pPr>
              <w:rPr>
                <w:rFonts w:ascii="Arial Nova" w:eastAsia="Arial" w:hAnsi="Arial Nova" w:cs="Arial"/>
              </w:rPr>
            </w:pPr>
          </w:p>
        </w:tc>
        <w:tc>
          <w:tcPr>
            <w:tcW w:w="417" w:type="dxa"/>
            <w:tcBorders>
              <w:top w:val="nil"/>
              <w:left w:val="nil"/>
              <w:bottom w:val="single" w:sz="4" w:space="0" w:color="000000"/>
              <w:right w:val="nil"/>
            </w:tcBorders>
          </w:tcPr>
          <w:p w14:paraId="12B6AF6A" w14:textId="77777777" w:rsidR="005A4FC0" w:rsidRPr="001142C0" w:rsidRDefault="005A4FC0">
            <w:pPr>
              <w:jc w:val="both"/>
              <w:rPr>
                <w:rFonts w:ascii="Arial Nova" w:eastAsia="Arial" w:hAnsi="Arial Nova" w:cs="Arial"/>
                <w:i/>
                <w:iCs/>
                <w:sz w:val="24"/>
                <w:szCs w:val="24"/>
              </w:rPr>
            </w:pPr>
          </w:p>
        </w:tc>
        <w:tc>
          <w:tcPr>
            <w:tcW w:w="5919" w:type="dxa"/>
            <w:vMerge/>
            <w:tcBorders>
              <w:top w:val="single" w:sz="4" w:space="0" w:color="000000"/>
              <w:left w:val="nil"/>
              <w:bottom w:val="single" w:sz="4" w:space="0" w:color="000000"/>
              <w:right w:val="nil"/>
            </w:tcBorders>
          </w:tcPr>
          <w:p w14:paraId="0574411D" w14:textId="77777777" w:rsidR="005A4FC0" w:rsidRPr="001142C0" w:rsidRDefault="005A4FC0">
            <w:pPr>
              <w:widowControl w:val="0"/>
              <w:pBdr>
                <w:top w:val="nil"/>
                <w:left w:val="nil"/>
                <w:bottom w:val="nil"/>
                <w:right w:val="nil"/>
                <w:between w:val="nil"/>
              </w:pBdr>
              <w:spacing w:line="276" w:lineRule="auto"/>
              <w:jc w:val="left"/>
              <w:rPr>
                <w:rFonts w:ascii="Arial Nova" w:eastAsia="Arial" w:hAnsi="Arial Nova" w:cs="Arial"/>
                <w:i/>
                <w:iCs/>
                <w:sz w:val="24"/>
                <w:szCs w:val="24"/>
              </w:rPr>
            </w:pPr>
          </w:p>
        </w:tc>
      </w:tr>
    </w:tbl>
    <w:p w14:paraId="14DFF788" w14:textId="77777777" w:rsidR="005A4FC0" w:rsidRPr="001142C0" w:rsidRDefault="005A4FC0">
      <w:pPr>
        <w:rPr>
          <w:rFonts w:ascii="Arial Nova" w:eastAsia="Arial" w:hAnsi="Arial Nova" w:cs="Arial"/>
        </w:rPr>
        <w:sectPr w:rsidR="005A4FC0" w:rsidRPr="001142C0">
          <w:headerReference w:type="even" r:id="rId19"/>
          <w:headerReference w:type="default" r:id="rId20"/>
          <w:footerReference w:type="even" r:id="rId21"/>
          <w:footerReference w:type="default" r:id="rId22"/>
          <w:pgSz w:w="11909" w:h="16834"/>
          <w:pgMar w:top="1418" w:right="1134" w:bottom="1134" w:left="1134" w:header="720" w:footer="720" w:gutter="0"/>
          <w:pgNumType w:start="1"/>
          <w:cols w:space="720"/>
        </w:sectPr>
      </w:pPr>
    </w:p>
    <w:p w14:paraId="6F27C9CF" w14:textId="77777777" w:rsidR="005A4FC0" w:rsidRPr="001142C0" w:rsidRDefault="00C76877">
      <w:pPr>
        <w:jc w:val="left"/>
        <w:rPr>
          <w:rFonts w:ascii="Arial Nova" w:eastAsia="Arial" w:hAnsi="Arial Nova" w:cs="Arial"/>
          <w:b/>
          <w:bCs/>
          <w:sz w:val="24"/>
          <w:szCs w:val="24"/>
        </w:rPr>
        <w:sectPr w:rsidR="005A4FC0" w:rsidRPr="001142C0">
          <w:type w:val="continuous"/>
          <w:pgSz w:w="11909" w:h="16834"/>
          <w:pgMar w:top="1418" w:right="1134" w:bottom="1134" w:left="1134" w:header="720" w:footer="720" w:gutter="0"/>
          <w:cols w:num="2" w:space="720" w:equalWidth="0">
            <w:col w:w="4640" w:space="360"/>
            <w:col w:w="4640" w:space="0"/>
          </w:cols>
        </w:sectPr>
      </w:pPr>
      <w:r w:rsidRPr="001142C0">
        <w:rPr>
          <w:rFonts w:ascii="Arial Nova" w:hAnsi="Arial Nova"/>
        </w:rPr>
        <w:br w:type="page"/>
      </w:r>
    </w:p>
    <w:p w14:paraId="64760D3F" w14:textId="77777777" w:rsidR="005A4FC0" w:rsidRPr="001142C0" w:rsidRDefault="00C76877">
      <w:pPr>
        <w:numPr>
          <w:ilvl w:val="0"/>
          <w:numId w:val="1"/>
        </w:numPr>
        <w:pBdr>
          <w:top w:val="nil"/>
          <w:left w:val="nil"/>
          <w:bottom w:val="nil"/>
          <w:right w:val="nil"/>
          <w:between w:val="nil"/>
        </w:pBdr>
        <w:tabs>
          <w:tab w:val="left" w:pos="426"/>
        </w:tabs>
        <w:ind w:left="426" w:hanging="426"/>
        <w:jc w:val="both"/>
        <w:rPr>
          <w:rFonts w:ascii="Arial Nova" w:eastAsia="Arial" w:hAnsi="Arial Nova" w:cs="Arial"/>
          <w:b/>
          <w:bCs/>
          <w:color w:val="000000"/>
          <w:sz w:val="24"/>
          <w:szCs w:val="24"/>
        </w:rPr>
      </w:pPr>
      <w:r w:rsidRPr="001142C0">
        <w:rPr>
          <w:rFonts w:ascii="Arial Nova" w:eastAsia="Arial" w:hAnsi="Arial Nova" w:cs="Arial"/>
          <w:b/>
          <w:bCs/>
          <w:color w:val="000000"/>
          <w:sz w:val="24"/>
          <w:szCs w:val="24"/>
        </w:rPr>
        <w:t xml:space="preserve">PENDAHULUAN </w:t>
      </w:r>
    </w:p>
    <w:p w14:paraId="1FE71E41" w14:textId="77777777" w:rsidR="005A4FC0" w:rsidRPr="001142C0" w:rsidRDefault="005A4FC0">
      <w:pPr>
        <w:pBdr>
          <w:top w:val="nil"/>
          <w:left w:val="nil"/>
          <w:bottom w:val="nil"/>
          <w:right w:val="nil"/>
          <w:between w:val="nil"/>
        </w:pBdr>
        <w:tabs>
          <w:tab w:val="left" w:pos="426"/>
        </w:tabs>
        <w:ind w:left="426"/>
        <w:jc w:val="both"/>
        <w:rPr>
          <w:rFonts w:ascii="Arial Nova" w:eastAsia="Arial" w:hAnsi="Arial Nova" w:cs="Arial"/>
          <w:b/>
          <w:bCs/>
          <w:color w:val="000000"/>
          <w:sz w:val="24"/>
          <w:szCs w:val="24"/>
        </w:rPr>
      </w:pPr>
    </w:p>
    <w:p w14:paraId="1FC2C31B" w14:textId="7C57F78D" w:rsidR="008B0016"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Obat merupakan kebutuhan esensial bagi masyarakat. Khususnya umat Muslim, aspek kehalalan obat menjadi hal penting untuk menjamin keamanan dan kepatuhan terhadap syariat Islam. Sertifikasi halal diperlukan karena obat berpotensi mengandung bahan dengan titik kritis kehalalan, seperti turunan hewani, enzim, gelatin, dan pelarut tertentu, sehingga pengawasan melalui sertifikasi halal menjadi faktor krusial</w:t>
      </w:r>
      <w:r w:rsidR="00143C60">
        <w:rPr>
          <w:rFonts w:ascii="Arial Nova" w:eastAsia="Arial" w:hAnsi="Arial Nova" w:cs="Arial"/>
          <w:sz w:val="24"/>
          <w:szCs w:val="24"/>
        </w:rPr>
        <w:t xml:space="preserve"> </w:t>
      </w:r>
      <w:hyperlink w:anchor="Setiawati"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{"citationItems":[{"id":"ITEM-1","itemData":{"DOI":"https://doi.org/10.61132/jpaes.v2i4.1573","abstract":"This study aims to examine the implementation and compliance with halal principles in pharmaceutical and cosmetic products in Indonesia. The halal aspect in these industries is crucial, as it directly relates to the permissibility of raw materials, production processes, and distribution that are consumed and used by Muslim communities. The research method applied is a literature review, analyzing government regulations, religious fatwas, and relevant previous studies. The findings indicate that the implementation of halal principles covers various aspects, including the selection of raw materials free from prohibited or impure substances, production processes that meet hygiene and halal standards, proper storage, distribution that is separated from non-halal products, and transparent marketing strategies. Producers’ compliance with halal requirements is influenced by several factors, such as growing consumer awareness, the role of government regulations in mandating halal certification, and corporate social as well as ethical responsibility. Nevertheless, there are still obstacles in its application, including the limited understanding of halal standards among certain producers, the lack of halal testing facilities, and certification costs that are considered burdensome for small and medium-sized enterprises. This study emphasizes that the success of halal implementation in pharmaceutical and cosmetic products requires collaboration among all stakeholders, including government bodies, halal certification authorities, industries, and society. Through such synergistic efforts, the sustainability of the halal industry can be ensured while also providing safety, comfort, and spiritual assurance for Muslim consumers in Indonesia.","author":[{"dropping-particle":"","family":"Setiawati","given":"Sindi","non-dropping-particle":"","parse-names":false,"suffix":""},{"dropping-particle":"","family":"Latifa","given":"Mutia","non-dropping-particle":"","parse-names":false,"suffix":""},{"dropping-particle":"","family":"Fahiratunisa","given":"Andara Safitri","non-dropping-particle":"","parse-names":false,"suffix":""},{"dropping-particle":"","family":"Marlina","given":"Lina","non-dropping-particle":"","parse-names":false,"suffix":""}],"container-title":"Jurnal Pajak dan AnalisisEkonomi Syariah (JPAES)","id":"ITEM-1","issue":"4","issued":{"date-parts":[["2025"]]},"page":"17-26","title":"Implementasi dan Kepatuhan Prinsip Halal pada Produk Farmasi dan Kosmetik","type":"article-journal","volume":"2"},"uris":["http://www.mendeley.com/documents/?uuid=9e19d841-e9d8-4587-8ae2-786b51ad5b69"]}],"mendeley":{"formattedCitation":"(Setiawati et al., 2025)","plainTextFormattedCitation":"(Setiawati et al., 2025)","previouslyFormattedCitation":"(Setiawati et al., 2025)"},"properties":{"noteIndex":0},"schema":"https://github.com/citation-style-language/schema/raw/master/csl-citation.json"}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(Setiawati et al., 2025)</w:t>
        </w:r>
        <w:r w:rsidR="00143C60" w:rsidRPr="00380FE9">
          <w:rPr>
            <w:rStyle w:val="Hyperlink"/>
            <w:rFonts w:ascii="Arial Nova" w:eastAsia="Arial" w:hAnsi="Arial Nova" w:cs="Arial"/>
            <w:color w:val="auto"/>
            <w:sz w:val="24"/>
            <w:szCs w:val="24"/>
            <w:u w:val="none"/>
          </w:rPr>
          <w:fldChar w:fldCharType="end"/>
        </w:r>
      </w:hyperlink>
      <w:r w:rsidRPr="00380FE9">
        <w:rPr>
          <w:rFonts w:ascii="Arial Nova" w:eastAsia="Arial" w:hAnsi="Arial Nova" w:cs="Arial"/>
          <w:sz w:val="24"/>
          <w:szCs w:val="24"/>
        </w:rPr>
        <w:t xml:space="preserve">. </w:t>
      </w:r>
      <w:r w:rsidRPr="001142C0">
        <w:rPr>
          <w:rFonts w:ascii="Arial Nova" w:eastAsia="Arial" w:hAnsi="Arial Nova" w:cs="Arial"/>
          <w:sz w:val="24"/>
          <w:szCs w:val="24"/>
        </w:rPr>
        <w:t>Kesadaran masyarakat Muslim terhadap kehalalan produk farmasi, menjadikan sertifikasi halal sebagai faktor utama dalam meningkatkan kepercayaan konsumen terhadap mutu dan keamanan obat</w:t>
      </w:r>
      <w:r w:rsidR="00143C60">
        <w:rPr>
          <w:rFonts w:ascii="Arial Nova" w:eastAsia="Arial" w:hAnsi="Arial Nova" w:cs="Arial"/>
          <w:sz w:val="24"/>
          <w:szCs w:val="24"/>
        </w:rPr>
        <w:t xml:space="preserve"> </w:t>
      </w:r>
      <w:hyperlink w:anchor="Utami"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{"citationItems":[{"id":"ITEM-1","itemData":{"DOI":"https://doi.org/10.12928/jhsr.v2i2.3176","ISSN":"2715-6214","abstract":"The trend of the halal industry has increased, both in the world and in Indonesia. The development of halal industry trend has developed in all fields, one of which is halal certification of drugs. Drug products are now also a special concern in the halal product category because, in terms of treatment, society demands that the health products used must be of high quality and halal. The purpose of the study was to find out how the public's perception of halal drug certification and whether there was a relationship between the level of knowledge and the perception of drug halal certification. This type of research is an analytic observational research survey section with a cross-sectional approach. Obtained 102 respondents, then the data were analyzed using the SPSS application, both univariate and bivariate analysis. The results showed that the level of knowledge was moderate (63.7%), the level of perception was good (64.7%) and the level of behavior was good (64.7%). Knowledge has a linear relationship (sig value 0.168 &gt; 0.05) significantly (f value 1.557 &lt; 2.20) to respondents' perceptions of halal certification of drugs, and perceptions of drug halal certification also have a linear relationship (sig value 0.119 &gt; 0, 05) significantly (f value 1.805 &lt; 2.31) on the respondent's drug consumption behavior. Public perception of drug halal certification is good (64.7%) and the better the level of knowledge, the better the perception of drug halal certification (significantly linear).","author":[{"dropping-particle":"","family":"Utami","given":"Zhazha Zetira","non-dropping-particle":"","parse-names":false,"suffix":""},{"dropping-particle":"","family":"Nurkhasanah","given":"Nurkhasanah","non-dropping-particle":"","parse-names":false,"suffix":""}],"container-title":"Journal of Halal Science and Research","id":"ITEM-1","issue":"2","issued":{"date-parts":[["2021"]]},"page":"51-56","title":"Public Perception of Halal Medicine Certification","type":"article-journal","volume":"2"},"uris":["http://www.mendeley.com/documents/?uuid=0b9fda85-7813-3676-b7d2-2906fb0d6684"]}],"mendeley":{"formattedCitation":"(Utami &amp; Nurkhasanah, 2021)","plainTextFormattedCitation":"(Utami &amp; Nurkhasanah, 2021)","previouslyFormattedCitation":"(Utami &amp; Nurkhasanah, 2021)"},"properties":{"noteIndex":0},"schema":"https://github.com/citation-style-language/schema/raw/master/csl-citation.json"}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(Utami &amp; Nurkhasanah, 2021)</w:t>
        </w:r>
        <w:r w:rsidR="00143C60" w:rsidRPr="00380FE9">
          <w:rPr>
            <w:rStyle w:val="Hyperlink"/>
            <w:rFonts w:ascii="Arial Nova" w:eastAsia="Arial" w:hAnsi="Arial Nova" w:cs="Arial"/>
            <w:color w:val="auto"/>
            <w:sz w:val="24"/>
            <w:szCs w:val="24"/>
            <w:u w:val="none"/>
          </w:rPr>
          <w:fldChar w:fldCharType="end"/>
        </w:r>
      </w:hyperlink>
      <w:r w:rsidRPr="001142C0">
        <w:rPr>
          <w:rFonts w:ascii="Arial Nova" w:eastAsia="Arial" w:hAnsi="Arial Nova" w:cs="Arial"/>
          <w:sz w:val="24"/>
          <w:szCs w:val="24"/>
        </w:rPr>
        <w:t>. Selain itu, kompleksitas rantai pasok, termasuk penggunaan bahan baku impor dengan status halal yang belum pasti, membuat kehalalan obat sulit dipastikan tanpa sertifikasi resmi</w:t>
      </w:r>
      <w:r w:rsidR="00143C60">
        <w:rPr>
          <w:rFonts w:ascii="Arial Nova" w:eastAsia="Arial" w:hAnsi="Arial Nova" w:cs="Arial"/>
          <w:sz w:val="24"/>
          <w:szCs w:val="24"/>
        </w:rPr>
        <w:t xml:space="preserve"> </w:t>
      </w:r>
      <w:hyperlink w:anchor="Hakim"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{"citationItems":[{"id":"ITEM-1","itemData":{"DOI":"https://doi.org/10.70338/wasatiyah.v5i2.162","abstract":"The halal industry is not only focused on the halal food sector, but has also developed into other sectors, including the pharmaceutical industry. This is supported by an increasing in the market share of halal medicines and the high interest of the Muslim community in using halal medicines. However, this increase in public interest and demand is not comparable to the availability of halal pharmaceuticals in Indonesia. This article will analyze how halal standardization is applied to products in the pharmaceutical industry. This study was designed using the Systematic Literature Review (SLR) method for browsing previous research that published within the 2013-2023 timeframe. The results showed that a product can be considered halal if it can be proven to be free from the critical point of drug halalness and meets the requirements in the halal assurance system (HAS) 23000. Among the obstacles in its implementation are a lot of use of imported raw materials that are not guaranteed to be halal, the complexity of the halal certification process in the pharmaceutical industry and the human resource factor.","author":[{"dropping-particle":"","family":"Hakim","given":"Ummu Habibah","non-dropping-particle":"","parse-names":false,"suffix":""},{"dropping-particle":"","family":"Anggraeni","given":"Fani","non-dropping-particle":"","parse-names":false,"suffix":""}],"container-title":"JIOSE: Journal of Indonesian Sharia Economics","id":"ITEM-1","issue":"2","issued":{"date-parts":[["2023"]]},"page":"171-190","title":"Industri Farmasi dalam Kajian Produk Halal: Pendekatan Systematic Literature Review","type":"article-journal","volume":"2"},"uris":["http://www.mendeley.com/documents/?uuid=c669fea6-f216-3f85-a347-7850c33742e4"]}],"mendeley":{"formattedCitation":"(Hakim &amp; Anggraeni, 2023)","plainTextFormattedCitation":"(Hakim &amp; Anggraeni, 2023)","previouslyFormattedCitation":"(Hakim &amp; Anggraeni, 2023)"},"properties":{"noteIndex":0},"schema":"https://github.com/citation-style-language/schema/raw/master/csl-citation.json"}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(Hakim &amp; Anggraeni, 2023)</w:t>
        </w:r>
        <w:r w:rsidR="00143C60" w:rsidRPr="00380FE9">
          <w:rPr>
            <w:rStyle w:val="Hyperlink"/>
            <w:rFonts w:ascii="Arial Nova" w:eastAsia="Arial" w:hAnsi="Arial Nova" w:cs="Arial"/>
            <w:color w:val="auto"/>
            <w:sz w:val="24"/>
            <w:szCs w:val="24"/>
            <w:u w:val="none"/>
          </w:rPr>
          <w:fldChar w:fldCharType="end"/>
        </w:r>
      </w:hyperlink>
      <w:r w:rsidRPr="00380FE9">
        <w:rPr>
          <w:rFonts w:ascii="Arial Nova" w:eastAsia="Arial" w:hAnsi="Arial Nova" w:cs="Arial"/>
          <w:sz w:val="24"/>
          <w:szCs w:val="24"/>
        </w:rPr>
        <w:t>.</w:t>
      </w:r>
    </w:p>
    <w:p w14:paraId="6FD4CE33" w14:textId="5596FE64" w:rsidR="008B0016"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Di sisi lain, regulasi obat di Indonesia mencakup aspek legal, administratif, teknis, dan sosial. Regulasi legal mengatur definisi, klasifikasi, persyaratan, prosedur, serta pengawasan obat tradisional, sedangkan regulasi administratif mencakup registrasi, sertifikasi, dan perizinan oleh BPOM</w:t>
      </w:r>
      <w:r w:rsidR="00143C60">
        <w:rPr>
          <w:rFonts w:ascii="Arial Nova" w:eastAsia="Arial" w:hAnsi="Arial Nova" w:cs="Arial"/>
          <w:sz w:val="24"/>
          <w:szCs w:val="24"/>
        </w:rPr>
        <w:t xml:space="preserve"> </w:t>
      </w:r>
      <w:hyperlink w:anchor="Subarti"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author":[{"dropping-particle":"","family":"Subarti","given":"Dwi","non-dropping-particle":"","parse-names":false,"suffix":""},{"dropping-particle":"","family":"Sunarmi","given":"","non-dropping-particle":"","parse-names":false,"suffix":""}],"container-title":"FARMASINDO","id":"ITEM-1","issue":"2","issued":{"date-parts":[["2025"]]},"page":"328-334","title":"Gambaran Tingkat Pengetahuan tentang Penggolongan Obat dan Jamu pada Ibu-Ibu PKK di Kabupaten Klaten","type":"article-journal","volume":"9"},"uris":["http://www.mendeley.com/documents/?uuid=35bbabc2-d4af-42a8-b9f8-58812063df88"]}],"mendeley":{"formattedCitation":"(Subarti &amp; Sunarmi, 2025)","plainTextFormattedCitation":"(Subarti &amp; Sunarmi, 2025)","previouslyFormattedCitation":"(Subarti &amp; Sunarmi, 2025)"},"properties":{"noteIndex":0},"schema":"https://github.com/citation-style-language/schema/raw/master/csl-citation.json"}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(Subarti &amp; Sunarmi, 2025)</w:t>
        </w:r>
        <w:r w:rsidR="00143C60" w:rsidRPr="00380FE9">
          <w:rPr>
            <w:rStyle w:val="Hyperlink"/>
            <w:rFonts w:ascii="Arial Nova" w:eastAsia="Arial" w:hAnsi="Arial Nova" w:cs="Arial"/>
            <w:color w:val="auto"/>
            <w:sz w:val="24"/>
            <w:szCs w:val="24"/>
            <w:u w:val="none"/>
          </w:rPr>
          <w:fldChar w:fldCharType="end"/>
        </w:r>
      </w:hyperlink>
      <w:r w:rsidRPr="001142C0">
        <w:rPr>
          <w:rFonts w:ascii="Arial Nova" w:eastAsia="Arial" w:hAnsi="Arial Nova" w:cs="Arial"/>
          <w:sz w:val="24"/>
          <w:szCs w:val="24"/>
        </w:rPr>
        <w:t>. Sistem penggolongan obat sebelum berlakunya UU Nomor 17 Tahun 2023 tentang Kesehatan masih mengacu pada UU Nomor 36 Tahun 2009, dengan fokus pada pembedaan obat resep dan nonresep, namun dinilai belum komprehensif</w:t>
      </w:r>
      <w:r w:rsidR="00143C60">
        <w:rPr>
          <w:rFonts w:ascii="Arial Nova" w:eastAsia="Arial" w:hAnsi="Arial Nova" w:cs="Arial"/>
          <w:sz w:val="24"/>
          <w:szCs w:val="24"/>
        </w:rPr>
        <w:t xml:space="preserve"> </w:t>
      </w:r>
      <w:hyperlink w:anchor="Mauludhin"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10.37329/ganaya.v9i1.5107","author":[{"dropping-particle":"","family":"Mauludhin","given":"Muhammad","non-dropping-particle":"","parse-names":false,"suffix":""},{"dropping-particle":"","family":"Muis","given":"Lidya Shery","non-dropping-particle":"","parse-names":false,"suffix":""}],"container-title":"Ganaya: Jurnal Ilmu Sosial dan Humaniora","id":"ITEM-1","issue":"1","issued":{"date-parts":[["2026"]]},"page":"88-102","title":"Regulasi terhadap Penggolongan Obat di Indonesia Pasca Undang-Undang Nomor 17 Tahun 2023 Tentang Kesehatan","type":"article-journal","volume":"9"},"uris":["http://www.mendeley.com/documents/?uuid=0278e7f8-77ce-4b47-afc4-5583d41975c6"]}],"mendeley":{"formattedCitation":"(Mauludhin &amp; Muis, 2026)","plainTextFormattedCitation":"(Mauludhin &amp; Muis, 2026)","previouslyFormattedCitation":"(Mauludhin &amp; Muis, 2026)"},"properties":{"noteIndex":0},"schema":"https://github.com/citation-style-language/schema/raw/master/csl-citation.json"}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(Mauludhin &amp; Muis, 2026)</w:t>
        </w:r>
        <w:r w:rsidR="00143C60" w:rsidRPr="00380FE9">
          <w:rPr>
            <w:rStyle w:val="Hyperlink"/>
            <w:rFonts w:ascii="Arial Nova" w:eastAsia="Arial" w:hAnsi="Arial Nova" w:cs="Arial"/>
            <w:color w:val="auto"/>
            <w:sz w:val="24"/>
            <w:szCs w:val="24"/>
            <w:u w:val="none"/>
          </w:rPr>
          <w:fldChar w:fldCharType="end"/>
        </w:r>
      </w:hyperlink>
      <w:r w:rsidR="00143C60">
        <w:rPr>
          <w:rFonts w:ascii="Arial Nova" w:eastAsia="Arial" w:hAnsi="Arial Nova" w:cs="Arial"/>
          <w:sz w:val="24"/>
          <w:szCs w:val="24"/>
        </w:rPr>
        <w:t xml:space="preserve">. </w:t>
      </w:r>
      <w:r w:rsidRPr="001142C0">
        <w:rPr>
          <w:rFonts w:ascii="Arial Nova" w:eastAsia="Arial" w:hAnsi="Arial Nova" w:cs="Arial"/>
          <w:sz w:val="24"/>
          <w:szCs w:val="24"/>
        </w:rPr>
        <w:t>Penggolongan obat di Indonesia didasarkan pada tingkat pengawasan dan risiko, meliputi obat bebas, obat bebas terbatas, obat keras, psikotropika, dan narkotika. Obat tradisional memiliki klasifikasi tersendiri, yaitu jamu, obat herbal terstandar, dan fitofarmaka, yang dibedakan berdasarkan pembuktian keamanan, mutu, dan khasiat</w:t>
      </w:r>
      <w:r w:rsidR="00143C60">
        <w:rPr>
          <w:rFonts w:ascii="Arial Nova" w:eastAsia="Arial" w:hAnsi="Arial Nova" w:cs="Arial"/>
          <w:sz w:val="24"/>
          <w:szCs w:val="24"/>
        </w:rPr>
        <w:t xml:space="preserve"> </w:t>
      </w:r>
      <w:hyperlink w:anchor="Wahidiyatur"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{"citationItems":[{"id":"ITEM-1","itemData":{"DOI":"https://doi.org/10.66340/wmjff888","abstract":"Traditional medicines are herbal or animal ingredients or concoctions, mineral concoctions, gelanic preparations or mixtures of several herbs that have been used for generations. The research method used in this research is a literature study by collecting and reviewing various sources of information related to traditional medicine regulations, both from the government, academics and practitioners. So the aim of this research is to identify and analyze traditional medicine regulations that apply in Indonesia, as well as provide recommendations for improving and developing regulations that are more in line with the needs and developments of the times.","author":[{"dropping-particle":"","family":"Wahidiyatur","given":"Nura Rohmah","non-dropping-particle":"","parse-names":false,"suffix":""},{"dropping-particle":"","family":"Nafilah","given":"Zumrotin","non-dropping-particle":"","parse-names":false,"suffix":""},{"dropping-particle":"","family":"Regina Hartanti","given":"Devia","non-dropping-particle":"","parse-names":false,"suffix":""},{"dropping-particle":"","family":"Nur Aini","given":"Shinta","non-dropping-particle":"","parse-names":false,"suffix":""},{"dropping-particle":"","family":"Amalia Putri","given":"Rizki","non-dropping-particle":"","parse-names":false,"suffix":""},{"dropping-particle":"","family":"Dwi Anjani","given":"Soffia","non-dropping-particle":"","parse-names":false,"suffix":""},{"dropping-particle":"","family":"Amilia Putri","given":"Heni","non-dropping-particle":"","parse-names":false,"suffix":""},{"dropping-particle":"","family":"Agustino","given":"Faizal","non-dropping-particle":"","parse-names":false,"suffix":""},{"dropping-particle":"","family":"Dewi","given":"Novita","non-dropping-particle":"","parse-names":false,"suffix":""},{"dropping-particle":"","family":"Maulidini","given":"Cici","non-dropping-particle":"","parse-names":false,"suffix":""},{"dropping-particle":"","family":"Anggrayni","given":"Renny","non-dropping-particle":"","parse-names":false,"suffix":""},{"dropping-particle":"","family":"Meliana J","given":"Marthy A","non-dropping-particle":"","parse-names":false,"suffix":""},{"dropping-particle":"","family":"Rahmawati","given":"Dewi","non-dropping-particle":"","parse-names":false,"suffix":""}],"container-title":"Jurnal Pelayanan dan teknologi Kefarmasian Indonesia","id":"ITEM-1","issue":"01","issued":{"date-parts":[["2024"]]},"page":"10-16","title":"Artikel Review: Regulasi Obat Tradisional yang Berlaku di Indonesia","type":"article-journal","volume":"01"},"uris":["http://www.mendeley.com/documents/?uuid=d9ec2dfc-09ae-3248-8c84-e0cea08f8340"]}],"mendeley":{"formattedCitation":"(Wahidiyatur et al., 2024)","plainTextFormattedCitation":"(Wahidiyatur et al., 2024)","previouslyFormattedCitation":"(Wahidiyatur et al., 2024)"},"properties":{"noteIndex":0},"schema":"https://github.com/citation-style-language/schema/raw/master/csl-citation.json"}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(Wahidiyatur et al., 2024)</w:t>
        </w:r>
        <w:r w:rsidR="00143C60" w:rsidRPr="00380FE9">
          <w:rPr>
            <w:rStyle w:val="Hyperlink"/>
            <w:rFonts w:ascii="Arial Nova" w:eastAsia="Arial" w:hAnsi="Arial Nova" w:cs="Arial"/>
            <w:color w:val="auto"/>
            <w:sz w:val="24"/>
            <w:szCs w:val="24"/>
            <w:u w:val="none"/>
          </w:rPr>
          <w:fldChar w:fldCharType="end"/>
        </w:r>
      </w:hyperlink>
      <w:r w:rsidRPr="00380FE9">
        <w:rPr>
          <w:rFonts w:ascii="Arial Nova" w:eastAsia="Arial" w:hAnsi="Arial Nova" w:cs="Arial"/>
          <w:sz w:val="24"/>
          <w:szCs w:val="24"/>
        </w:rPr>
        <w:t>.</w:t>
      </w:r>
    </w:p>
    <w:p w14:paraId="6C3D54A5" w14:textId="77777777" w:rsidR="008B0016"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Permasalahan muncul pada rendahnya literasi kesehatan di masyarakat, termasuk di Kampung Cijugul, Desa Mekarwangi, Kecamatan Tarogong Kaler, Kabupaten Garut. Mayoritas penduduk bermata pencaharian sebagai petani dengan akses terbatas terhadap fasilitas kesehatan. Berdasarkan data BPS (Badan Pusat Statistik) Garut tahun 2025, di Kecamatan Tarogong Kaler hanya terdapat tujuh apotek, sementara di Kampung Cijugul belum tersedia apotek maupun toko obat, sehingga masyarakat harus menempuh jarak lebih jauh untuk memperoleh obat dan layanan farmasi. Kondisi ini memperkuat kesenjangan pengetahuan masyarakat terhadap kehalalan obat.</w:t>
      </w:r>
    </w:p>
    <w:p w14:paraId="0D180BA4" w14:textId="1D269560" w:rsidR="005A4FC0"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Urgensi penelitian ini terletak pada perlunya program penyuluhan mengenai obat halal untuk meningkatkan literasi kesehatan masyarakat. Keberadaan kelompok ibu-ibu pengajian menjadi wadah strategis karena mereka berperan sebagai pengambil keputusan utama dalam keluarga terkait konsumsi obat dan produk kesehatan. Dengan demikian, penelitian ini bertujuan untuk meningkatkan pengetahuan dan kesadaran masyarakat terhadap obat halal melalui program penyuluhan di Kampung Cijugul serta mengukur efektivitas kelompok pengajian sebagai agen perubahan dalam memperkuat literasi kesehatan masyarakat.</w:t>
      </w:r>
    </w:p>
    <w:p w14:paraId="6E83514A" w14:textId="77777777" w:rsidR="005A4FC0" w:rsidRPr="001142C0" w:rsidRDefault="005A4FC0">
      <w:pPr>
        <w:pBdr>
          <w:top w:val="nil"/>
          <w:left w:val="nil"/>
          <w:bottom w:val="nil"/>
          <w:right w:val="nil"/>
          <w:between w:val="nil"/>
        </w:pBdr>
        <w:jc w:val="both"/>
        <w:rPr>
          <w:rFonts w:ascii="Arial Nova" w:eastAsia="Arial" w:hAnsi="Arial Nova" w:cs="Arial"/>
          <w:sz w:val="24"/>
          <w:szCs w:val="24"/>
        </w:rPr>
      </w:pPr>
    </w:p>
    <w:p w14:paraId="3ED2855C" w14:textId="77777777" w:rsidR="005A4FC0" w:rsidRPr="001142C0" w:rsidRDefault="00C76877">
      <w:pPr>
        <w:numPr>
          <w:ilvl w:val="0"/>
          <w:numId w:val="1"/>
        </w:numPr>
        <w:pBdr>
          <w:top w:val="nil"/>
          <w:left w:val="nil"/>
          <w:bottom w:val="nil"/>
          <w:right w:val="nil"/>
          <w:between w:val="nil"/>
        </w:pBdr>
        <w:tabs>
          <w:tab w:val="left" w:pos="426"/>
        </w:tabs>
        <w:ind w:left="426" w:hanging="426"/>
        <w:jc w:val="both"/>
        <w:rPr>
          <w:rFonts w:ascii="Arial Nova" w:eastAsia="Arial" w:hAnsi="Arial Nova" w:cs="Arial"/>
          <w:b/>
          <w:bCs/>
          <w:sz w:val="24"/>
          <w:szCs w:val="24"/>
        </w:rPr>
      </w:pPr>
      <w:r w:rsidRPr="001142C0">
        <w:rPr>
          <w:rFonts w:ascii="Arial Nova" w:eastAsia="Arial" w:hAnsi="Arial Nova" w:cs="Arial"/>
          <w:b/>
          <w:bCs/>
          <w:sz w:val="24"/>
          <w:szCs w:val="24"/>
        </w:rPr>
        <w:t>METODE</w:t>
      </w:r>
    </w:p>
    <w:p w14:paraId="2D52EF78" w14:textId="77777777" w:rsidR="005A4FC0" w:rsidRPr="001142C0" w:rsidRDefault="005A4FC0">
      <w:pPr>
        <w:ind w:firstLine="426"/>
        <w:jc w:val="both"/>
        <w:rPr>
          <w:rFonts w:ascii="Arial Nova" w:eastAsia="Arial" w:hAnsi="Arial Nova" w:cs="Arial"/>
          <w:sz w:val="24"/>
          <w:szCs w:val="24"/>
        </w:rPr>
      </w:pPr>
    </w:p>
    <w:p w14:paraId="61B98849" w14:textId="77777777" w:rsidR="005A4FC0" w:rsidRPr="001142C0" w:rsidRDefault="00C76877" w:rsidP="008B0016">
      <w:pPr>
        <w:pBdr>
          <w:top w:val="nil"/>
          <w:left w:val="nil"/>
          <w:bottom w:val="nil"/>
          <w:right w:val="nil"/>
          <w:between w:val="nil"/>
        </w:pBdr>
        <w:ind w:firstLine="426"/>
        <w:jc w:val="both"/>
        <w:rPr>
          <w:rFonts w:ascii="Arial Nova" w:eastAsia="Palatino Linotype" w:hAnsi="Arial Nova" w:cs="Palatino Linotype"/>
          <w:sz w:val="24"/>
          <w:szCs w:val="24"/>
        </w:rPr>
      </w:pPr>
      <w:r w:rsidRPr="001142C0">
        <w:rPr>
          <w:rFonts w:ascii="Arial Nova" w:eastAsia="Palatino Linotype" w:hAnsi="Arial Nova" w:cs="Palatino Linotype"/>
          <w:sz w:val="24"/>
          <w:szCs w:val="24"/>
        </w:rPr>
        <w:t>Penyuluhan ini menggunakan metode observasional dengan pendekatan kuantitatif. Program dilaksanakan melalui beberapa tahapan sebagaimana ditunjukkan pada Gambar 1.</w:t>
      </w:r>
    </w:p>
    <w:p w14:paraId="1B85C47A" w14:textId="77777777" w:rsidR="00473614" w:rsidRDefault="00473614">
      <w:pPr>
        <w:pBdr>
          <w:top w:val="nil"/>
          <w:left w:val="nil"/>
          <w:bottom w:val="nil"/>
          <w:right w:val="nil"/>
          <w:between w:val="nil"/>
        </w:pBdr>
        <w:rPr>
          <w:rFonts w:ascii="Arial Nova" w:eastAsia="Palatino Linotype" w:hAnsi="Arial Nova" w:cs="Palatino Linotype"/>
          <w:b/>
          <w:bCs/>
          <w:sz w:val="24"/>
          <w:szCs w:val="24"/>
        </w:rPr>
        <w:sectPr w:rsidR="00473614">
          <w:footerReference w:type="default" r:id="rId23"/>
          <w:type w:val="continuous"/>
          <w:pgSz w:w="11909" w:h="16834"/>
          <w:pgMar w:top="1418" w:right="1134" w:bottom="1134" w:left="1134" w:header="720" w:footer="720" w:gutter="0"/>
          <w:cols w:space="720"/>
        </w:sectPr>
      </w:pPr>
    </w:p>
    <w:p w14:paraId="25AE537B" w14:textId="68E7B132" w:rsidR="005A4FC0" w:rsidRPr="001142C0" w:rsidRDefault="00C76877">
      <w:pPr>
        <w:pBdr>
          <w:top w:val="nil"/>
          <w:left w:val="nil"/>
          <w:bottom w:val="nil"/>
          <w:right w:val="nil"/>
          <w:between w:val="nil"/>
        </w:pBdr>
        <w:rPr>
          <w:rFonts w:ascii="Arial Nova" w:eastAsia="Palatino Linotype" w:hAnsi="Arial Nova" w:cs="Palatino Linotype"/>
          <w:b/>
          <w:bCs/>
          <w:sz w:val="24"/>
          <w:szCs w:val="24"/>
        </w:rPr>
      </w:pPr>
      <w:r w:rsidRPr="001142C0">
        <w:rPr>
          <w:rFonts w:ascii="Arial Nova" w:eastAsia="Palatino Linotype" w:hAnsi="Arial Nova" w:cs="Palatino Linotype"/>
          <w:b/>
          <w:bCs/>
          <w:noProof/>
          <w:sz w:val="24"/>
          <w:szCs w:val="24"/>
          <w:lang w:val="en-US" w:eastAsia="en-US"/>
        </w:rPr>
        <w:drawing>
          <wp:inline distT="0" distB="0" distL="0" distR="0" wp14:anchorId="0A575412" wp14:editId="79591684">
            <wp:extent cx="4927110" cy="1256306"/>
            <wp:effectExtent l="0" t="0" r="6985" b="127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24"/>
                    <a:srcRect l="2927" t="11256" r="6346" b="19806"/>
                    <a:stretch/>
                  </pic:blipFill>
                  <pic:spPr bwMode="auto">
                    <a:xfrm>
                      <a:off x="0" y="0"/>
                      <a:ext cx="4942801" cy="1260307"/>
                    </a:xfrm>
                    <a:prstGeom prst="rect">
                      <a:avLst/>
                    </a:prstGeom>
                    <a:ln>
                      <a:noFill/>
                    </a:ln>
                    <a:extLst>
                      <a:ext uri="{53640926-AAD7-44D8-BBD7-CCE9431645EC}">
                        <a14:shadowObscured xmlns:a14="http://schemas.microsoft.com/office/drawing/2010/main"/>
                      </a:ext>
                    </a:extLst>
                  </pic:spPr>
                </pic:pic>
              </a:graphicData>
            </a:graphic>
          </wp:inline>
        </w:drawing>
      </w:r>
    </w:p>
    <w:p w14:paraId="2BC54BEF" w14:textId="77777777" w:rsidR="005A4FC0" w:rsidRPr="001142C0" w:rsidRDefault="00C76877">
      <w:pPr>
        <w:pBdr>
          <w:top w:val="nil"/>
          <w:left w:val="nil"/>
          <w:bottom w:val="nil"/>
          <w:right w:val="nil"/>
          <w:between w:val="nil"/>
        </w:pBdr>
        <w:rPr>
          <w:rFonts w:ascii="Arial Nova" w:eastAsia="Palatino Linotype" w:hAnsi="Arial Nova" w:cs="Palatino Linotype"/>
          <w:b/>
          <w:bCs/>
          <w:sz w:val="24"/>
          <w:szCs w:val="24"/>
        </w:rPr>
      </w:pPr>
      <w:r w:rsidRPr="001142C0">
        <w:rPr>
          <w:rFonts w:ascii="Arial Nova" w:eastAsia="Palatino Linotype" w:hAnsi="Arial Nova" w:cs="Palatino Linotype"/>
          <w:b/>
          <w:bCs/>
          <w:sz w:val="22"/>
          <w:szCs w:val="22"/>
        </w:rPr>
        <w:t xml:space="preserve">Gambar 1. </w:t>
      </w:r>
      <w:r w:rsidRPr="001142C0">
        <w:rPr>
          <w:rFonts w:ascii="Arial Nova" w:eastAsia="Palatino Linotype" w:hAnsi="Arial Nova" w:cs="Palatino Linotype"/>
          <w:sz w:val="22"/>
          <w:szCs w:val="22"/>
        </w:rPr>
        <w:t>Rangkaian Kegiatan Penyuluhan Obat Halal</w:t>
      </w:r>
    </w:p>
    <w:p w14:paraId="4AFED6C8" w14:textId="77777777" w:rsidR="005A4FC0" w:rsidRPr="001142C0" w:rsidRDefault="00C76877">
      <w:pPr>
        <w:pBdr>
          <w:top w:val="nil"/>
          <w:left w:val="nil"/>
          <w:bottom w:val="nil"/>
          <w:right w:val="nil"/>
          <w:between w:val="nil"/>
        </w:pBdr>
        <w:jc w:val="both"/>
        <w:rPr>
          <w:rFonts w:ascii="Arial Nova" w:eastAsia="Palatino Linotype" w:hAnsi="Arial Nova" w:cs="Palatino Linotype"/>
          <w:sz w:val="24"/>
          <w:szCs w:val="24"/>
        </w:rPr>
      </w:pPr>
      <w:r w:rsidRPr="001142C0">
        <w:rPr>
          <w:rFonts w:ascii="Arial Nova" w:eastAsia="Palatino Linotype" w:hAnsi="Arial Nova" w:cs="Palatino Linotype"/>
          <w:sz w:val="24"/>
          <w:szCs w:val="24"/>
        </w:rPr>
        <w:t xml:space="preserve"> </w:t>
      </w:r>
    </w:p>
    <w:p w14:paraId="2D829105" w14:textId="77777777" w:rsidR="005A4FC0" w:rsidRPr="001142C0" w:rsidRDefault="00C76877" w:rsidP="008B0016">
      <w:pPr>
        <w:pBdr>
          <w:top w:val="nil"/>
          <w:left w:val="nil"/>
          <w:bottom w:val="nil"/>
          <w:right w:val="nil"/>
          <w:between w:val="nil"/>
        </w:pBdr>
        <w:ind w:firstLine="426"/>
        <w:jc w:val="both"/>
        <w:rPr>
          <w:rFonts w:ascii="Arial Nova" w:eastAsia="Palatino Linotype" w:hAnsi="Arial Nova" w:cs="Palatino Linotype"/>
          <w:sz w:val="24"/>
          <w:szCs w:val="24"/>
        </w:rPr>
      </w:pPr>
      <w:r w:rsidRPr="001142C0">
        <w:rPr>
          <w:rFonts w:ascii="Arial Nova" w:eastAsia="Palatino Linotype" w:hAnsi="Arial Nova" w:cs="Palatino Linotype"/>
          <w:sz w:val="24"/>
          <w:szCs w:val="24"/>
        </w:rPr>
        <w:t xml:space="preserve">Rangkaian kegiatan penyuluhan mengenai obat halal diawali dengan survei lokasi pada masyarakat sasaran, yaitu ibu-ibu pengajian. Tema penyuluhan obat halal dipilih karena adanya kesenjangan pengetahuan masyarakat terhadap konsep kehalalan obat. Penelitian ini menggunakan </w:t>
      </w:r>
      <w:r w:rsidRPr="001142C0">
        <w:rPr>
          <w:rFonts w:ascii="Arial Nova" w:eastAsia="Palatino Linotype" w:hAnsi="Arial Nova" w:cs="Palatino Linotype"/>
          <w:i/>
          <w:iCs/>
          <w:sz w:val="24"/>
          <w:szCs w:val="24"/>
        </w:rPr>
        <w:t>purposive sampling</w:t>
      </w:r>
      <w:r w:rsidRPr="001142C0">
        <w:rPr>
          <w:rFonts w:ascii="Arial Nova" w:eastAsia="Palatino Linotype" w:hAnsi="Arial Nova" w:cs="Palatino Linotype"/>
          <w:sz w:val="24"/>
          <w:szCs w:val="24"/>
        </w:rPr>
        <w:t xml:space="preserve"> sebanyak 30 orang peserta. Pemilihan sampel didasarkan pada peran mereka sebagai pengambil keputusan utama dalam keluarga terkait konsumsi obat. Instrumen penelitian berupa kuesioner singkat yang disusun untuk mengukur pengetahuan awal mengenai definisi obat halal, ciri-ciri obat halal, dan pemahaman terhadap logo halal. Selanjutnya, materi penyuluhan disampaikan secara lisan dan juga menggunakan media </w:t>
      </w:r>
      <w:r w:rsidRPr="001142C0">
        <w:rPr>
          <w:rFonts w:ascii="Arial Nova" w:eastAsia="Palatino Linotype" w:hAnsi="Arial Nova" w:cs="Palatino Linotype"/>
          <w:i/>
          <w:iCs/>
          <w:sz w:val="24"/>
          <w:szCs w:val="24"/>
        </w:rPr>
        <w:t>leaflet</w:t>
      </w:r>
      <w:r w:rsidRPr="001142C0">
        <w:rPr>
          <w:rFonts w:ascii="Arial Nova" w:eastAsia="Palatino Linotype" w:hAnsi="Arial Nova" w:cs="Palatino Linotype"/>
          <w:sz w:val="24"/>
          <w:szCs w:val="24"/>
        </w:rPr>
        <w:t xml:space="preserve"> agar informasi dapat lebih mudah dipahami dan diterapkan dalam kehidupan sehari-hari.</w:t>
      </w:r>
    </w:p>
    <w:p w14:paraId="050248E8" w14:textId="77777777" w:rsidR="005A4FC0" w:rsidRPr="001142C0" w:rsidRDefault="005A4FC0">
      <w:pPr>
        <w:ind w:firstLine="426"/>
        <w:jc w:val="both"/>
        <w:rPr>
          <w:rFonts w:ascii="Arial Nova" w:eastAsia="Arial" w:hAnsi="Arial Nova" w:cs="Arial"/>
          <w:sz w:val="24"/>
          <w:szCs w:val="24"/>
        </w:rPr>
      </w:pPr>
    </w:p>
    <w:p w14:paraId="43B3A8D3" w14:textId="77777777" w:rsidR="005A4FC0" w:rsidRPr="001142C0" w:rsidRDefault="00C76877">
      <w:pPr>
        <w:numPr>
          <w:ilvl w:val="0"/>
          <w:numId w:val="1"/>
        </w:numPr>
        <w:pBdr>
          <w:top w:val="nil"/>
          <w:left w:val="nil"/>
          <w:bottom w:val="nil"/>
          <w:right w:val="nil"/>
          <w:between w:val="nil"/>
        </w:pBdr>
        <w:spacing w:after="200" w:line="276" w:lineRule="auto"/>
        <w:ind w:left="284" w:hanging="284"/>
        <w:jc w:val="both"/>
        <w:rPr>
          <w:rFonts w:ascii="Arial Nova" w:eastAsia="Arial" w:hAnsi="Arial Nova" w:cs="Arial"/>
          <w:b/>
          <w:bCs/>
          <w:sz w:val="24"/>
          <w:szCs w:val="24"/>
        </w:rPr>
      </w:pPr>
      <w:r w:rsidRPr="001142C0">
        <w:rPr>
          <w:rFonts w:ascii="Arial Nova" w:eastAsia="Arial" w:hAnsi="Arial Nova" w:cs="Arial"/>
          <w:b/>
          <w:bCs/>
          <w:sz w:val="24"/>
          <w:szCs w:val="24"/>
        </w:rPr>
        <w:t xml:space="preserve">  HASIL DAN PEMBAHASAN</w:t>
      </w:r>
    </w:p>
    <w:p w14:paraId="3A58A619" w14:textId="77777777" w:rsidR="008B0016"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Pelaksanaan PKM di Kampung Cijugul, Desa Mekarwangi, diikuti oleh 30 dari 40 ibu-ibu pengajian. Tingkat partisipasi mencapai 75% menegaskan antusiasme tinggi sekaligus kepedulian terhadap isu kehalalan obat. Ibu-ibu pengajian merupakan kanal strategis dalam penyebaran informasi kesehatan, mengingat peran ibu sebagai pengambil keputusan utama dalam keluarga. Diskusi interaktif memperlihatkan partisipasi aktif melalui pertanyaan dan berbagi pengalaman, menandakan adanya proses internalisasi pengetahuan. Dengan demikian, keterlibatan ibu-ibu sebagai tonggak keluarga terbukti memperkuat literasi kesehatan berbasis komunitas dan mendukung tujuan PKM dalam meningkatkan kesadaran kolektif mengenai pemilihan obat halal.</w:t>
      </w:r>
    </w:p>
    <w:p w14:paraId="35D542F7" w14:textId="4CFEA083" w:rsidR="005A4FC0"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Indonesia memiliki potensi strategis untuk menjadi pusat industri halal dunia karena jumlah populasi Muslim yang besar dan tingginya konsumsi produk halal. Namun, peluang tersebut belum optimal akibat rendahnya kesadaran pelaku usaha, lemahnya perlindungan konsumen, serta kompleksitas rantai pasok global yang masih menjadi hambatan utama</w:t>
      </w:r>
      <w:r w:rsidR="00143C60">
        <w:rPr>
          <w:rFonts w:ascii="Arial Nova" w:eastAsia="Arial" w:hAnsi="Arial Nova" w:cs="Arial"/>
          <w:sz w:val="24"/>
          <w:szCs w:val="24"/>
        </w:rPr>
        <w:t xml:space="preserve"> </w:t>
      </w:r>
      <w:hyperlink w:anchor="Warto"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{"citationItems":[{"id":"ITEM-1","itemData":{"DOI":"10.30603/au.v20i1.1170","ISSN":"1412-0534","abstract":"Studi ini bertujuan untuk mengkaji peluang bisnis halal, tantangan dan solusinya di Indonesia. Penelitian ini menggunakan metode deskriptif kualitatif dengan menggunakan data dokumentasi berupa buku, laporan lembaga resmi seperti BPS, OJK, BI, Kemendag, Kemenpan dan jurnal ilmiah. Hasil kajian dari beberapa literatur didapati bahwa Indonesia sebenarnya memiliki peluang yang sangat besar untuk menjadi pusat bisnis halal dunia. Hal ini terlihat dari beberapa indikator diantara tingginya tingkat populasi umat Islam dan tingginya tingkat konsumsi. Namun sikap pelaku usaha yang cenderung tidak aware, lebih mengejar keuntungan, minimnya perhatian pemerintah, lebih dilindunginya pelaku usaha dari pada konsumen, rendahnya respons masyarakat terhadap produk halal merupakan hambatan besar. Solusi utamanya dengan percepatan penerapan UU JPH sebagai payung hukum, kesadaran para pengusaha dan pelaku bisnis, dengan menjadikan sertifikasi halal sebagai bagian pelayanan prima, dan dukungan masyarakat.","author":[{"dropping-particle":"","family":"Warto","given":"Warto","non-dropping-particle":"","parse-names":false,"suffix":""},{"dropping-particle":"","family":"Arif","given":"Zainal","non-dropping-particle":"","parse-names":false,"suffix":""}],"container-title":"Al-Ulum","id":"ITEM-1","issue":"1","issued":{"date-parts":[["2020"]]},"page":"274-294","title":"Bisnis Produk Halal antara Peluang dan Tantangan, Problematika dan Solusinya","type":"article-journal","volume":"20"},"uris":["http://www.mendeley.com/documents/?uuid=5d3b8a07-fe82-33ac-9b7f-032322d5eb74"]}],"mendeley":{"formattedCitation":"(Warto &amp; Arif, 2020)","plainTextFormattedCitation":"(Warto &amp; Arif, 2020)","previouslyFormattedCitation":"(Warto &amp; Arif, 2020)"},"properties":{"noteIndex":0},"schema":"https://github.com/citation-style-language/schema/raw/master/csl-citation.json"}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(Warto &amp; Arif, 2020)</w:t>
        </w:r>
        <w:r w:rsidR="00143C60" w:rsidRPr="00380FE9">
          <w:rPr>
            <w:rStyle w:val="Hyperlink"/>
            <w:rFonts w:ascii="Arial Nova" w:eastAsia="Arial" w:hAnsi="Arial Nova" w:cs="Arial"/>
            <w:color w:val="auto"/>
            <w:sz w:val="24"/>
            <w:szCs w:val="24"/>
            <w:u w:val="none"/>
          </w:rPr>
          <w:fldChar w:fldCharType="end"/>
        </w:r>
      </w:hyperlink>
      <w:r w:rsidRPr="001142C0">
        <w:rPr>
          <w:rFonts w:ascii="Arial Nova" w:eastAsia="Arial" w:hAnsi="Arial Nova" w:cs="Arial"/>
          <w:sz w:val="24"/>
          <w:szCs w:val="24"/>
        </w:rPr>
        <w:t>. Kondisi ini menegaskan adanya kesenjangan antara besarnya potensi pasar halal dengan keterbatasan sistem pendukung. Intervensi berupa penyuluhan obat halal menjadi relevan, khususnya bagi ibu-ibu pengajian yang berperan sebagai pengambil keputusan keluarga. Pendekatan ini tidak sekadar mentransfer informasi, tetapi membangun literasi kesehatan berbasis komunitas dan kesadaran kritis terhadap pemilihan obat halal.  Berikut ini disajikan hasil kuesioner yang telah dilakukan.</w:t>
      </w:r>
    </w:p>
    <w:p w14:paraId="25515551" w14:textId="77777777" w:rsidR="008B0016" w:rsidRPr="001142C0" w:rsidRDefault="008B0016" w:rsidP="00910227">
      <w:pPr>
        <w:pBdr>
          <w:top w:val="nil"/>
          <w:left w:val="nil"/>
          <w:bottom w:val="nil"/>
          <w:right w:val="nil"/>
          <w:between w:val="nil"/>
        </w:pBdr>
        <w:jc w:val="both"/>
        <w:rPr>
          <w:rFonts w:ascii="Arial Nova" w:eastAsia="Arial" w:hAnsi="Arial Nova" w:cs="Arial"/>
          <w:sz w:val="24"/>
          <w:szCs w:val="24"/>
        </w:rPr>
      </w:pPr>
    </w:p>
    <w:p w14:paraId="4B1ACFFF" w14:textId="77777777" w:rsidR="00910227" w:rsidRDefault="00910227">
      <w:pPr>
        <w:rPr>
          <w:rFonts w:ascii="Arial Nova" w:eastAsia="Arial" w:hAnsi="Arial Nova" w:cs="Arial"/>
          <w:b/>
          <w:bCs/>
          <w:sz w:val="24"/>
          <w:szCs w:val="24"/>
        </w:rPr>
      </w:pPr>
      <w:r>
        <w:rPr>
          <w:rFonts w:ascii="Arial Nova" w:eastAsia="Arial" w:hAnsi="Arial Nova" w:cs="Arial"/>
          <w:b/>
          <w:bCs/>
          <w:sz w:val="24"/>
          <w:szCs w:val="24"/>
        </w:rPr>
        <w:br w:type="page"/>
      </w:r>
    </w:p>
    <w:p w14:paraId="28D991BD" w14:textId="77777777" w:rsidR="00473614" w:rsidRDefault="00473614" w:rsidP="00910227">
      <w:pPr>
        <w:pBdr>
          <w:top w:val="nil"/>
          <w:left w:val="nil"/>
          <w:bottom w:val="nil"/>
          <w:right w:val="nil"/>
          <w:between w:val="nil"/>
        </w:pBdr>
        <w:spacing w:line="276" w:lineRule="auto"/>
        <w:jc w:val="both"/>
        <w:rPr>
          <w:rFonts w:ascii="Arial Nova" w:eastAsia="Arial" w:hAnsi="Arial Nova" w:cs="Arial"/>
          <w:b/>
          <w:bCs/>
          <w:sz w:val="24"/>
          <w:szCs w:val="24"/>
        </w:rPr>
        <w:sectPr w:rsidR="00473614" w:rsidSect="00473614">
          <w:footerReference w:type="even" r:id="rId25"/>
          <w:pgSz w:w="11909" w:h="16834"/>
          <w:pgMar w:top="1418" w:right="1134" w:bottom="1134" w:left="1134" w:header="720" w:footer="720" w:gutter="0"/>
          <w:cols w:space="720"/>
        </w:sectPr>
      </w:pPr>
    </w:p>
    <w:p w14:paraId="568695BA" w14:textId="75CF32B7" w:rsidR="005A4FC0" w:rsidRPr="001142C0" w:rsidRDefault="00C76877" w:rsidP="00910227">
      <w:pPr>
        <w:pBdr>
          <w:top w:val="nil"/>
          <w:left w:val="nil"/>
          <w:bottom w:val="nil"/>
          <w:right w:val="nil"/>
          <w:between w:val="nil"/>
        </w:pBdr>
        <w:spacing w:line="276" w:lineRule="auto"/>
        <w:jc w:val="both"/>
        <w:rPr>
          <w:rFonts w:ascii="Arial Nova" w:eastAsia="Arial" w:hAnsi="Arial Nova" w:cs="Arial"/>
          <w:b/>
          <w:bCs/>
          <w:sz w:val="24"/>
          <w:szCs w:val="24"/>
        </w:rPr>
      </w:pPr>
      <w:r w:rsidRPr="001142C0">
        <w:rPr>
          <w:rFonts w:ascii="Arial Nova" w:eastAsia="Arial" w:hAnsi="Arial Nova" w:cs="Arial"/>
          <w:b/>
          <w:bCs/>
          <w:sz w:val="24"/>
          <w:szCs w:val="24"/>
        </w:rPr>
        <w:t>Penyuluhan mengenai definisi obat halal</w:t>
      </w:r>
    </w:p>
    <w:p w14:paraId="7EC414E0" w14:textId="77777777" w:rsidR="005A4FC0" w:rsidRPr="001142C0" w:rsidRDefault="00C76877">
      <w:pPr>
        <w:pBdr>
          <w:top w:val="nil"/>
          <w:left w:val="nil"/>
          <w:bottom w:val="nil"/>
          <w:right w:val="nil"/>
          <w:between w:val="nil"/>
        </w:pBdr>
        <w:spacing w:after="200" w:line="276" w:lineRule="auto"/>
        <w:ind w:left="284"/>
        <w:rPr>
          <w:rFonts w:ascii="Arial Nova" w:eastAsia="Arial" w:hAnsi="Arial Nova" w:cs="Arial"/>
          <w:b/>
          <w:bCs/>
          <w:sz w:val="24"/>
          <w:szCs w:val="24"/>
        </w:rPr>
      </w:pPr>
      <w:r w:rsidRPr="001142C0">
        <w:rPr>
          <w:rFonts w:ascii="Arial Nova" w:eastAsia="Arial" w:hAnsi="Arial Nova" w:cs="Arial"/>
          <w:b/>
          <w:bCs/>
          <w:noProof/>
          <w:sz w:val="24"/>
          <w:szCs w:val="24"/>
          <w:lang w:val="en-US" w:eastAsia="en-US"/>
        </w:rPr>
        <w:drawing>
          <wp:inline distT="0" distB="0" distL="0" distR="0" wp14:anchorId="7CF6C644" wp14:editId="546BFAF4">
            <wp:extent cx="2159209" cy="2250219"/>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2162251" cy="2253390"/>
                    </a:xfrm>
                    <a:prstGeom prst="rect">
                      <a:avLst/>
                    </a:prstGeom>
                    <a:ln/>
                  </pic:spPr>
                </pic:pic>
              </a:graphicData>
            </a:graphic>
          </wp:inline>
        </w:drawing>
      </w:r>
    </w:p>
    <w:p w14:paraId="1D288B0C" w14:textId="170D8114" w:rsidR="005A4FC0" w:rsidRPr="001142C0" w:rsidRDefault="00C76877">
      <w:pPr>
        <w:pBdr>
          <w:top w:val="nil"/>
          <w:left w:val="nil"/>
          <w:bottom w:val="nil"/>
          <w:right w:val="nil"/>
          <w:between w:val="nil"/>
        </w:pBdr>
        <w:ind w:firstLine="284"/>
        <w:rPr>
          <w:rFonts w:ascii="Arial Nova" w:eastAsia="Arial" w:hAnsi="Arial Nova" w:cs="Arial"/>
          <w:sz w:val="22"/>
          <w:szCs w:val="22"/>
        </w:rPr>
      </w:pPr>
      <w:r w:rsidRPr="001142C0">
        <w:rPr>
          <w:rFonts w:ascii="Arial Nova" w:eastAsia="Arial" w:hAnsi="Arial Nova" w:cs="Arial"/>
          <w:b/>
          <w:bCs/>
          <w:sz w:val="22"/>
          <w:szCs w:val="22"/>
        </w:rPr>
        <w:t>Gambar 2.</w:t>
      </w:r>
      <w:r w:rsidRPr="001142C0">
        <w:rPr>
          <w:rFonts w:ascii="Arial Nova" w:eastAsia="Arial" w:hAnsi="Arial Nova" w:cs="Arial"/>
          <w:sz w:val="22"/>
          <w:szCs w:val="22"/>
        </w:rPr>
        <w:t xml:space="preserve"> Persentase </w:t>
      </w:r>
      <w:r w:rsidR="00B32942">
        <w:rPr>
          <w:rFonts w:ascii="Arial Nova" w:eastAsia="Arial" w:hAnsi="Arial Nova" w:cs="Arial"/>
          <w:sz w:val="22"/>
          <w:szCs w:val="22"/>
        </w:rPr>
        <w:t>Pengetahuan Peserta M</w:t>
      </w:r>
      <w:r w:rsidR="008B0016" w:rsidRPr="001142C0">
        <w:rPr>
          <w:rFonts w:ascii="Arial Nova" w:eastAsia="Arial" w:hAnsi="Arial Nova" w:cs="Arial"/>
          <w:sz w:val="22"/>
          <w:szCs w:val="22"/>
        </w:rPr>
        <w:t>engenai Definisi Obat Halal</w:t>
      </w:r>
    </w:p>
    <w:p w14:paraId="20B0730B" w14:textId="77777777" w:rsidR="005A4FC0" w:rsidRPr="001142C0" w:rsidRDefault="005A4FC0">
      <w:pPr>
        <w:pBdr>
          <w:top w:val="nil"/>
          <w:left w:val="nil"/>
          <w:bottom w:val="nil"/>
          <w:right w:val="nil"/>
          <w:between w:val="nil"/>
        </w:pBdr>
        <w:ind w:firstLine="284"/>
        <w:jc w:val="both"/>
        <w:rPr>
          <w:rFonts w:ascii="Arial Nova" w:eastAsia="Arial" w:hAnsi="Arial Nova" w:cs="Arial"/>
          <w:sz w:val="24"/>
          <w:szCs w:val="24"/>
        </w:rPr>
      </w:pPr>
    </w:p>
    <w:p w14:paraId="3DAFFE89" w14:textId="77777777" w:rsidR="008B0016"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 xml:space="preserve">Survei menunjukkan bahwa hanya 33,3% responden memahami definisi obat halal, sedangkan 66,7% lainnya belum mengetahuinya. Rendahnya pemahaman ini sejalan dengan temuan bahwa mayoritas responden 60% juga belum mengenali ciri-ciri obat halal secara lengkap, baik dari aspek bahan baku, proses produksi, maupun penandaan resmi. Sebaliknya, tingkat pengenalan terhadap logo halal relatif lebih tinggi, dengan 73,3% responden sudah mengenalnya. Hasil ini memperlihatkan adanya kesenjangan pengetahuan,  masyarakat lebih mudah mengidentifikasi simbol visual berupa logo halal dibandingkan memahami konsep dan karakteristik obat halal secara menyeluruh. </w:t>
      </w:r>
    </w:p>
    <w:p w14:paraId="4F4F98DC" w14:textId="36DFAB00" w:rsidR="005A4FC0"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Selain gambaran umum mengenai tingkat pengetahuan responden terhadap obat halal, analisis lebih lanjut dilakukan pada pertanyaan kuesioner yang menyoroti aspek-aspek spesifik terkait status kehalalan obat yang ditekankan pada titik kritis bahan baku obat.</w:t>
      </w:r>
    </w:p>
    <w:p w14:paraId="4D8738CF" w14:textId="77777777" w:rsidR="00B32942" w:rsidRDefault="00B32942" w:rsidP="00B32942">
      <w:pPr>
        <w:pBdr>
          <w:top w:val="nil"/>
          <w:left w:val="nil"/>
          <w:bottom w:val="nil"/>
          <w:right w:val="nil"/>
          <w:between w:val="nil"/>
        </w:pBdr>
        <w:jc w:val="both"/>
        <w:rPr>
          <w:rFonts w:ascii="Arial Nova" w:eastAsia="Arial" w:hAnsi="Arial Nova" w:cs="Arial"/>
          <w:b/>
          <w:bCs/>
          <w:sz w:val="24"/>
          <w:szCs w:val="24"/>
        </w:rPr>
      </w:pPr>
    </w:p>
    <w:p w14:paraId="371E3FF0" w14:textId="2B84188B" w:rsidR="005A4FC0" w:rsidRPr="001142C0" w:rsidRDefault="00C76877" w:rsidP="00B32942">
      <w:pPr>
        <w:pBdr>
          <w:top w:val="nil"/>
          <w:left w:val="nil"/>
          <w:bottom w:val="nil"/>
          <w:right w:val="nil"/>
          <w:between w:val="nil"/>
        </w:pBdr>
        <w:jc w:val="both"/>
        <w:rPr>
          <w:rFonts w:ascii="Arial Nova" w:eastAsia="Arial" w:hAnsi="Arial Nova" w:cs="Arial"/>
          <w:b/>
          <w:bCs/>
          <w:sz w:val="24"/>
          <w:szCs w:val="24"/>
        </w:rPr>
      </w:pPr>
      <w:r w:rsidRPr="001142C0">
        <w:rPr>
          <w:rFonts w:ascii="Arial Nova" w:eastAsia="Arial" w:hAnsi="Arial Nova" w:cs="Arial"/>
          <w:b/>
          <w:bCs/>
          <w:sz w:val="24"/>
          <w:szCs w:val="24"/>
        </w:rPr>
        <w:t>Penyuluhan Status obat batuk yang mengandung alkohol</w:t>
      </w:r>
    </w:p>
    <w:p w14:paraId="1E87A5DE" w14:textId="77777777" w:rsidR="005A4FC0" w:rsidRPr="001142C0" w:rsidRDefault="00C76877">
      <w:pPr>
        <w:pBdr>
          <w:top w:val="nil"/>
          <w:left w:val="nil"/>
          <w:bottom w:val="nil"/>
          <w:right w:val="nil"/>
          <w:between w:val="nil"/>
        </w:pBdr>
        <w:spacing w:after="120"/>
        <w:ind w:left="360"/>
        <w:rPr>
          <w:rFonts w:ascii="Arial Nova" w:eastAsia="Arial" w:hAnsi="Arial Nova" w:cs="Arial"/>
          <w:b/>
          <w:bCs/>
          <w:sz w:val="24"/>
          <w:szCs w:val="24"/>
        </w:rPr>
      </w:pPr>
      <w:r w:rsidRPr="001142C0">
        <w:rPr>
          <w:rFonts w:ascii="Arial Nova" w:eastAsia="Arial" w:hAnsi="Arial Nova" w:cs="Arial"/>
          <w:b/>
          <w:bCs/>
          <w:noProof/>
          <w:sz w:val="24"/>
          <w:szCs w:val="24"/>
          <w:lang w:val="en-US" w:eastAsia="en-US"/>
        </w:rPr>
        <w:drawing>
          <wp:inline distT="0" distB="0" distL="0" distR="0" wp14:anchorId="6D5D8893" wp14:editId="00BC69A2">
            <wp:extent cx="2191014" cy="2361537"/>
            <wp:effectExtent l="0" t="0" r="0" b="127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a:stretch>
                      <a:fillRect/>
                    </a:stretch>
                  </pic:blipFill>
                  <pic:spPr>
                    <a:xfrm>
                      <a:off x="0" y="0"/>
                      <a:ext cx="2200005" cy="2371227"/>
                    </a:xfrm>
                    <a:prstGeom prst="rect">
                      <a:avLst/>
                    </a:prstGeom>
                    <a:ln/>
                  </pic:spPr>
                </pic:pic>
              </a:graphicData>
            </a:graphic>
          </wp:inline>
        </w:drawing>
      </w:r>
    </w:p>
    <w:p w14:paraId="39E7016A" w14:textId="572D0AF2" w:rsidR="005A4FC0" w:rsidRPr="00B32942" w:rsidRDefault="00C76877" w:rsidP="00B32942">
      <w:pPr>
        <w:pBdr>
          <w:top w:val="nil"/>
          <w:left w:val="nil"/>
          <w:bottom w:val="nil"/>
          <w:right w:val="nil"/>
          <w:between w:val="nil"/>
        </w:pBdr>
        <w:ind w:left="360" w:firstLine="360"/>
        <w:rPr>
          <w:rFonts w:ascii="Arial Nova" w:eastAsia="Arial" w:hAnsi="Arial Nova" w:cs="Arial"/>
          <w:sz w:val="22"/>
          <w:szCs w:val="22"/>
        </w:rPr>
      </w:pPr>
      <w:r w:rsidRPr="001142C0">
        <w:rPr>
          <w:rFonts w:ascii="Arial Nova" w:eastAsia="Arial" w:hAnsi="Arial Nova" w:cs="Arial"/>
          <w:b/>
          <w:bCs/>
          <w:sz w:val="22"/>
          <w:szCs w:val="22"/>
        </w:rPr>
        <w:t xml:space="preserve">Gambar </w:t>
      </w:r>
      <w:r w:rsidR="008B0016" w:rsidRPr="001142C0">
        <w:rPr>
          <w:rFonts w:ascii="Arial Nova" w:eastAsia="Arial" w:hAnsi="Arial Nova" w:cs="Arial"/>
          <w:b/>
          <w:bCs/>
          <w:sz w:val="22"/>
          <w:szCs w:val="22"/>
        </w:rPr>
        <w:t>3.</w:t>
      </w:r>
      <w:r w:rsidR="008B0016" w:rsidRPr="001142C0">
        <w:rPr>
          <w:rFonts w:ascii="Arial Nova" w:eastAsia="Arial" w:hAnsi="Arial Nova" w:cs="Arial"/>
          <w:sz w:val="22"/>
          <w:szCs w:val="22"/>
        </w:rPr>
        <w:t xml:space="preserve"> </w:t>
      </w:r>
      <w:r w:rsidRPr="001142C0">
        <w:rPr>
          <w:rFonts w:ascii="Arial Nova" w:eastAsia="Arial" w:hAnsi="Arial Nova" w:cs="Arial"/>
          <w:sz w:val="22"/>
          <w:szCs w:val="22"/>
        </w:rPr>
        <w:t xml:space="preserve">Persentase </w:t>
      </w:r>
      <w:r w:rsidR="00B32942">
        <w:rPr>
          <w:rFonts w:ascii="Arial Nova" w:eastAsia="Arial" w:hAnsi="Arial Nova" w:cs="Arial"/>
          <w:sz w:val="22"/>
          <w:szCs w:val="22"/>
        </w:rPr>
        <w:t>Pengetahuan Peserta M</w:t>
      </w:r>
      <w:r w:rsidR="008B0016" w:rsidRPr="001142C0">
        <w:rPr>
          <w:rFonts w:ascii="Arial Nova" w:eastAsia="Arial" w:hAnsi="Arial Nova" w:cs="Arial"/>
          <w:sz w:val="22"/>
          <w:szCs w:val="22"/>
        </w:rPr>
        <w:t>engenai Ciri Obat Halal</w:t>
      </w:r>
    </w:p>
    <w:p w14:paraId="7657A25C" w14:textId="77777777" w:rsidR="00473614" w:rsidRDefault="00473614" w:rsidP="00B32942">
      <w:pPr>
        <w:pBdr>
          <w:top w:val="nil"/>
          <w:left w:val="nil"/>
          <w:bottom w:val="nil"/>
          <w:right w:val="nil"/>
          <w:between w:val="nil"/>
        </w:pBdr>
        <w:spacing w:after="240"/>
        <w:ind w:firstLine="426"/>
        <w:jc w:val="both"/>
        <w:rPr>
          <w:rFonts w:ascii="Arial Nova" w:eastAsia="Arial" w:hAnsi="Arial Nova" w:cs="Arial"/>
          <w:sz w:val="24"/>
          <w:szCs w:val="24"/>
        </w:rPr>
        <w:sectPr w:rsidR="00473614" w:rsidSect="00473614">
          <w:footerReference w:type="default" r:id="rId28"/>
          <w:pgSz w:w="11909" w:h="16834"/>
          <w:pgMar w:top="1418" w:right="1134" w:bottom="1134" w:left="1134" w:header="720" w:footer="720" w:gutter="0"/>
          <w:cols w:space="720"/>
        </w:sectPr>
      </w:pPr>
    </w:p>
    <w:p w14:paraId="79755E2A" w14:textId="3DB8D1DB" w:rsidR="005A4FC0" w:rsidRPr="00B32942" w:rsidRDefault="00C76877" w:rsidP="00B32942">
      <w:pPr>
        <w:pBdr>
          <w:top w:val="nil"/>
          <w:left w:val="nil"/>
          <w:bottom w:val="nil"/>
          <w:right w:val="nil"/>
          <w:between w:val="nil"/>
        </w:pBdr>
        <w:spacing w:after="240"/>
        <w:ind w:firstLine="426"/>
        <w:jc w:val="both"/>
        <w:rPr>
          <w:rFonts w:ascii="Arial Nova" w:eastAsia="Arial" w:hAnsi="Arial Nova" w:cs="Arial"/>
          <w:sz w:val="24"/>
          <w:szCs w:val="24"/>
        </w:rPr>
      </w:pPr>
      <w:r w:rsidRPr="001142C0">
        <w:rPr>
          <w:rFonts w:ascii="Arial Nova" w:eastAsia="Arial" w:hAnsi="Arial Nova" w:cs="Arial"/>
          <w:sz w:val="24"/>
          <w:szCs w:val="24"/>
        </w:rPr>
        <w:t>Hasil survei menunjukkan bahwa 30 % peserta dengan benar mengidentifikasi obat batuk yang mengandung alkohol sebagai mubah (boleh). Menurut Fatwa MUI Nomor 11 Tahun 2009 alkohol tidak selalu dikategorikan sebagai khamar, karena khamr secara khusus merujuk pada zat yang memabukkan yang dihasilkan melalui proses fermentasi. Alkohol yang berasal dari proses industri non-khamr, seperti etanol sintetis yang digunakan dalam obat, dianggap boleh selama tidak menyebabkan mabuk dan aman secara medis. Oleh karena itu, obat batuk yang mengandung alkohol dapat dikategorikan mubah apabila digunakan untuk kepentingan medis dan ketika belum tersedia alternatif obat halal yang setara. Pandangan ini didukung oleh regulasi BPOM Nomor 25 Tahun 2025 yang memperbolehkan penggunaan alkohol dalam sediaan farmasi secara terbatas dan terkontrol, meskipun edukasi lanjutan kepada masyarakat tetap diperlukan.</w:t>
      </w:r>
    </w:p>
    <w:p w14:paraId="26AA6FD0" w14:textId="77777777" w:rsidR="005A4FC0" w:rsidRPr="001142C0" w:rsidRDefault="00C76877">
      <w:pPr>
        <w:pBdr>
          <w:top w:val="nil"/>
          <w:left w:val="nil"/>
          <w:bottom w:val="nil"/>
          <w:right w:val="nil"/>
          <w:between w:val="nil"/>
        </w:pBdr>
        <w:spacing w:after="120"/>
        <w:jc w:val="both"/>
        <w:rPr>
          <w:rFonts w:ascii="Arial Nova" w:eastAsia="Arial" w:hAnsi="Arial Nova" w:cs="Arial"/>
          <w:b/>
          <w:bCs/>
          <w:sz w:val="24"/>
          <w:szCs w:val="24"/>
        </w:rPr>
      </w:pPr>
      <w:r w:rsidRPr="001142C0">
        <w:rPr>
          <w:rFonts w:ascii="Arial Nova" w:eastAsia="Arial" w:hAnsi="Arial Nova" w:cs="Arial"/>
          <w:b/>
          <w:bCs/>
          <w:sz w:val="24"/>
          <w:szCs w:val="24"/>
        </w:rPr>
        <w:t>Penyuluhan Contoh obat berdasarkan status</w:t>
      </w:r>
    </w:p>
    <w:p w14:paraId="73905075" w14:textId="77777777" w:rsidR="005A4FC0" w:rsidRPr="001142C0" w:rsidRDefault="00C76877">
      <w:pPr>
        <w:pBdr>
          <w:top w:val="nil"/>
          <w:left w:val="nil"/>
          <w:bottom w:val="nil"/>
          <w:right w:val="nil"/>
          <w:between w:val="nil"/>
        </w:pBdr>
        <w:spacing w:after="120"/>
        <w:rPr>
          <w:rFonts w:ascii="Arial Nova" w:eastAsia="Arial" w:hAnsi="Arial Nova" w:cs="Arial"/>
          <w:b/>
          <w:bCs/>
          <w:sz w:val="24"/>
          <w:szCs w:val="24"/>
        </w:rPr>
      </w:pPr>
      <w:r w:rsidRPr="001142C0">
        <w:rPr>
          <w:rFonts w:ascii="Arial Nova" w:eastAsia="Arial" w:hAnsi="Arial Nova" w:cs="Arial"/>
          <w:b/>
          <w:bCs/>
          <w:noProof/>
          <w:sz w:val="24"/>
          <w:szCs w:val="24"/>
          <w:lang w:val="en-US" w:eastAsia="en-US"/>
        </w:rPr>
        <w:drawing>
          <wp:inline distT="0" distB="0" distL="0" distR="0" wp14:anchorId="08C038AF" wp14:editId="5A2B4A5D">
            <wp:extent cx="2088000" cy="2160000"/>
            <wp:effectExtent l="0" t="0" r="762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9"/>
                    <a:srcRect/>
                    <a:stretch>
                      <a:fillRect/>
                    </a:stretch>
                  </pic:blipFill>
                  <pic:spPr>
                    <a:xfrm>
                      <a:off x="0" y="0"/>
                      <a:ext cx="2088000" cy="2160000"/>
                    </a:xfrm>
                    <a:prstGeom prst="rect">
                      <a:avLst/>
                    </a:prstGeom>
                    <a:ln/>
                  </pic:spPr>
                </pic:pic>
              </a:graphicData>
            </a:graphic>
          </wp:inline>
        </w:drawing>
      </w:r>
    </w:p>
    <w:p w14:paraId="721F2855" w14:textId="0DE81C31" w:rsidR="005A4FC0" w:rsidRPr="001142C0" w:rsidRDefault="00C76877">
      <w:pPr>
        <w:pBdr>
          <w:top w:val="nil"/>
          <w:left w:val="nil"/>
          <w:bottom w:val="nil"/>
          <w:right w:val="nil"/>
          <w:between w:val="nil"/>
        </w:pBdr>
        <w:ind w:firstLine="720"/>
        <w:rPr>
          <w:rFonts w:ascii="Arial Nova" w:eastAsia="Arial" w:hAnsi="Arial Nova" w:cs="Arial"/>
          <w:sz w:val="22"/>
          <w:szCs w:val="22"/>
        </w:rPr>
      </w:pPr>
      <w:r w:rsidRPr="001142C0">
        <w:rPr>
          <w:rFonts w:ascii="Arial Nova" w:eastAsia="Arial" w:hAnsi="Arial Nova" w:cs="Arial"/>
          <w:b/>
          <w:bCs/>
          <w:sz w:val="22"/>
          <w:szCs w:val="22"/>
        </w:rPr>
        <w:t xml:space="preserve">Gambar </w:t>
      </w:r>
      <w:r w:rsidR="008B0016" w:rsidRPr="001142C0">
        <w:rPr>
          <w:rFonts w:ascii="Arial Nova" w:eastAsia="Arial" w:hAnsi="Arial Nova" w:cs="Arial"/>
          <w:b/>
          <w:bCs/>
          <w:sz w:val="22"/>
          <w:szCs w:val="22"/>
        </w:rPr>
        <w:t>4.</w:t>
      </w:r>
      <w:r w:rsidR="008B0016" w:rsidRPr="001142C0">
        <w:rPr>
          <w:rFonts w:ascii="Arial Nova" w:eastAsia="Arial" w:hAnsi="Arial Nova" w:cs="Arial"/>
          <w:sz w:val="22"/>
          <w:szCs w:val="22"/>
        </w:rPr>
        <w:t xml:space="preserve"> </w:t>
      </w:r>
      <w:r w:rsidRPr="001142C0">
        <w:rPr>
          <w:rFonts w:ascii="Arial Nova" w:eastAsia="Arial" w:hAnsi="Arial Nova" w:cs="Arial"/>
          <w:sz w:val="22"/>
          <w:szCs w:val="22"/>
        </w:rPr>
        <w:t xml:space="preserve">Persentase </w:t>
      </w:r>
      <w:r w:rsidR="008B0016" w:rsidRPr="001142C0">
        <w:rPr>
          <w:rFonts w:ascii="Arial Nova" w:eastAsia="Arial" w:hAnsi="Arial Nova" w:cs="Arial"/>
          <w:sz w:val="22"/>
          <w:szCs w:val="22"/>
        </w:rPr>
        <w:t>Pengetahuan Peserta Mengenai Logo Obat Halal</w:t>
      </w:r>
    </w:p>
    <w:p w14:paraId="3684D5C1" w14:textId="77777777" w:rsidR="005A4FC0" w:rsidRPr="001142C0" w:rsidRDefault="005A4FC0">
      <w:pPr>
        <w:pBdr>
          <w:top w:val="nil"/>
          <w:left w:val="nil"/>
          <w:bottom w:val="nil"/>
          <w:right w:val="nil"/>
          <w:between w:val="nil"/>
        </w:pBdr>
        <w:ind w:firstLine="720"/>
        <w:jc w:val="both"/>
        <w:rPr>
          <w:rFonts w:ascii="Arial Nova" w:eastAsia="Arial" w:hAnsi="Arial Nova" w:cs="Arial"/>
          <w:sz w:val="24"/>
          <w:szCs w:val="24"/>
        </w:rPr>
      </w:pPr>
    </w:p>
    <w:p w14:paraId="57AA6E34" w14:textId="436A2CD4" w:rsidR="008B0016"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Sebanyak 13 responden (43,3%) menilai kapsul hewani hampir pasti haram, mencerminkan pemahaman sebagian peserta terhadap bahan kritis obat, khususnya gelatin. Temuan ini sejalan dengan literatur yang menyebutkan gelatin berasal dari kolagen kulit dan tulang hewan, sehingga status kehalalannya bergantung pada jenis hewan dan proses penyembelihan. Gelatin dari babi atau hewan halal yang tidak disembelih sesuai syariat dinyatakan haram, sehingga penggunaannya dalam produk farmasi memerlukan perhatian khusus dan jaminan sertifikasi</w:t>
      </w:r>
      <w:r w:rsidR="00143C60">
        <w:rPr>
          <w:rFonts w:ascii="Arial Nova" w:eastAsia="Arial" w:hAnsi="Arial Nova" w:cs="Arial"/>
          <w:sz w:val="24"/>
          <w:szCs w:val="24"/>
        </w:rPr>
        <w:t xml:space="preserve"> </w:t>
      </w:r>
      <w:hyperlink w:anchor="Suseno"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{"citationItems":[{"id":"ITEM-1","itemData":{"DOI":"https://doi.org/10.30736/jev.v2i2.69","ISSN":"2597-9612","abstract":"Gelatin banyak sekali kegunaannya dan bukan saja terbatas pada produk pangan tetapi juga pada produk non pangan seperti bahan baku pembuatan cangkang kapsul, bahan baku tambahan kosmetik dan obat-obatan. Dalam industri farmasi, gelatin digunakan dalam pembuatan kapsul lunak dan keras serta bahan pengikat obat sediaan tablet. Gelatin adalah senyawa polipeptida yang dihidrolisis dari kolagen yang sumbernya berasal dari tulang sapi dan babi serta kulit sapi, ikan dan babi. Pada tahun 2002, sebanyak 41% gelatin diproduksi dari kulit babi. Hal ini menunjukkan jumlah gelatin babi di pasar dunia sangat besar, sehingga dikhawatirkan menimbulkan rasa tidak aman bagi masyarakat khususnya umat islam dalam mengkonsumsi obat khususnya obat sediaan tablet yang menggunakan gelatin sebagai bahan pengikatnya. Tujuan penelitian ini adalah mengisolasi gelatin dari sediaan obat tablet yang tidak berbahan aktif protein menggunakan metode ferris dan mengidentifikasi gelatin hasil isolasi dengan menggunakan pereaksi biuret. Dari 11 sampel yang dianalisis, 9 sampel positif mengandung gelatin sedangkan 2 sampel tidak mengandung gelatin.","author":[{"dropping-particle":"","family":"Suseno","given":"Dedy","non-dropping-particle":"","parse-names":false,"suffix":""},{"dropping-particle":"","family":"Roswiem","given":"Anna P","non-dropping-particle":"","parse-names":false,"suffix":""}],"container-title":"Jurnal EnviScience (Environment Science)","id":"ITEM-1","issue":"2","issued":{"date-parts":[["2018"]]},"page":"85-90","title":"Isolasi dan Identifikasi Gelatin pada Sediaan Obat Tablet yang Tidak Berbahan Aktif Protein","type":"article-journal","volume":"2"},"uris":["http://www.mendeley.com/documents/?uuid=ceff3964-ac06-35ea-83fd-6e5c3de6a16b"]}],"mendeley":{"formattedCitation":"(Suseno &amp; Roswiem, 2018)","plainTextFormattedCitation":"(Suseno &amp; Roswiem, 2018)"},"properties":{"noteIndex":0},"schema":"https://github.com/citation-style-language/schema/raw/master/csl-citation.json"}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(Suseno &amp; Roswiem, 2018)</w:t>
        </w:r>
        <w:r w:rsidR="00143C60" w:rsidRPr="00380FE9">
          <w:rPr>
            <w:rStyle w:val="Hyperlink"/>
            <w:rFonts w:ascii="Arial Nova" w:eastAsia="Arial" w:hAnsi="Arial Nova" w:cs="Arial"/>
            <w:color w:val="auto"/>
            <w:sz w:val="24"/>
            <w:szCs w:val="24"/>
            <w:u w:val="none"/>
          </w:rPr>
          <w:fldChar w:fldCharType="end"/>
        </w:r>
      </w:hyperlink>
      <w:r w:rsidR="00AB6D24">
        <w:rPr>
          <w:rFonts w:ascii="Arial Nova" w:eastAsia="Arial" w:hAnsi="Arial Nova" w:cs="Arial"/>
          <w:sz w:val="24"/>
          <w:szCs w:val="24"/>
        </w:rPr>
        <w:t>.</w:t>
      </w:r>
    </w:p>
    <w:p w14:paraId="5F2DF491" w14:textId="73D4D0A1" w:rsidR="008B0016"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Hasil penyuluhan menunjukkan bahwa 46,7% peserta telah memahami bahwa obat yang mengandung alkohol hampir pasti haram. Fatwa MUI Nomor 40 Tahun 2018 tentang penggunaan alkohol atau etanol dalam obat diterbitkan untuk menjawab kekhawatiran masyarakat Muslim, karena alkohol merupakan bahan tambahan penting dalam pembuatan obat</w:t>
      </w:r>
      <w:r w:rsidR="00143C60">
        <w:rPr>
          <w:rFonts w:ascii="Arial Nova" w:eastAsia="Arial" w:hAnsi="Arial Nova" w:cs="Arial"/>
          <w:sz w:val="24"/>
          <w:szCs w:val="24"/>
        </w:rPr>
        <w:t xml:space="preserve"> </w:t>
      </w:r>
      <w:hyperlink w:anchor="Annisa"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{"citationItems":[{"id":"ITEM-1","itemData":{"DOI":"https://doi.org/10.70338/wasatiyah.v5i2.162","abstract":"Alkohol sering dipandang sebagai hal negatif karena unsurnya yang memabukkan dan berbahaya sehingga ketetapan hukum syar’i nya ialah haram. Disamping efek negatif yang ditimbulkan, alkohol juga memiliki manfaat bagi kehidupan manusia salah satunya dibidang kosmetik dan obat-obatan. Sehingga tidak sedikit produk kosmetik dan obat-obatan yang mengandung alkohol saat ini telah dilabelisasi halal oleh pihak MUI untuk mengatasi keraguan masyarakat muslim dalam penggunaanya. Sayangnya, belum semua masyarakat memahami konsep halal penggunaan alkohol yang dimaksud pihak MUI sehingga masih banyak yang menolak untuk menggunakan obat-obatan atau kosmetika yang mengandung alkohol meskipun sudah memiliki label halal. Tujuan dari penelitian ini tak lain untuk menjelaskan sekaligus menganalisis standarisasi batas penggunaan kadar alkohol yang ditetapkan oleh pihak MUI dengan menggunakan perspektif maqasid syari’ah Jasser Auda. Penelitian ini termasuk penelitian pustaka atau deskriptif-kualitatif. Hasil penelitian yang dihasilkan ialah: Pertama, batas kadar penggunaan alkohol yang ditetapkan oleh pihak MUI maksimal 0,5% dengan ketentuan penggunaan dalam yang dikonsumsi seperti obat cair maksimal 0,5% dan sangat disarankan untuk penggunaan dibawah batas maksimal karena sifatnya yang langsung dicerna oleh organ dalam, sedangkan untuk penggunaan luar seperti kosmetik, obat salep penggunaan alkohol bisa diatas 0,5% karena penggunaan tidak dikonsumsi secara langsung. Kedua, jika ditinjau penggunaan alkohol dari segi maqasid syari’ah Jasser Auda yang merupakan hasil pemetaan ulang dari konsep maqasid syari’ah klasik yang berbasis dharuriyat al-khamsah kini implementasinya sudah sesuai dengan konsep Jasser Auda yang konsep maqasid miliknya lebih kearah human development dan HAM kecuali hifz al-mal yang belum bisa ditemukan implementasinya.","author":[{"dropping-particle":"","family":"Annisa","given":"Firda","non-dropping-particle":"","parse-names":false,"suffix":""}],"container-title":"Wasatiyah: Jurnal Hukum","id":"ITEM-1","issue":"2","issued":{"date-parts":[["2024"]]},"page":"1-15","title":"Batas Penggunaan Kadar Alkohol pada Kosmetik dan Obat-Obatan (Analisis terhadap Fatwa MUI Nomor: 40 Tahun 2018 Perspektif Maqasid Syari’ah)","type":"article-journal","volume":"5"},"uris":["http://www.mendeley.com/documents/?uuid=6900126e-36ab-3ea2-afe7-58df44c6f53d"]}],"mendeley":{"formattedCitation":"(Annisa, 2024)","plainTextFormattedCitation":"(Annisa, 2024)","previouslyFormattedCitation":"(Annisa, 2024)"},"properties":{"noteIndex":0},"schema":"https://github.com/citation-style-language/schema/raw/master/csl-citation.json"}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(Annisa, 2024)</w:t>
        </w:r>
        <w:r w:rsidR="00143C60" w:rsidRPr="00380FE9">
          <w:rPr>
            <w:rStyle w:val="Hyperlink"/>
            <w:rFonts w:ascii="Arial Nova" w:eastAsia="Arial" w:hAnsi="Arial Nova" w:cs="Arial"/>
            <w:color w:val="auto"/>
            <w:sz w:val="24"/>
            <w:szCs w:val="24"/>
            <w:u w:val="none"/>
          </w:rPr>
          <w:fldChar w:fldCharType="end"/>
        </w:r>
      </w:hyperlink>
      <w:r w:rsidR="00AD5CB1" w:rsidRPr="001142C0">
        <w:rPr>
          <w:rFonts w:ascii="Arial Nova" w:eastAsia="Arial" w:hAnsi="Arial Nova" w:cs="Arial"/>
          <w:sz w:val="24"/>
          <w:szCs w:val="24"/>
        </w:rPr>
        <w:t>.</w:t>
      </w:r>
      <w:r w:rsidRPr="001142C0">
        <w:rPr>
          <w:rFonts w:ascii="Arial Nova" w:eastAsia="Arial" w:hAnsi="Arial Nova" w:cs="Arial"/>
          <w:sz w:val="24"/>
          <w:szCs w:val="24"/>
        </w:rPr>
        <w:t xml:space="preserve"> Fatwa tersebut menegaskan bahwa obat adalah kebutuhan esensial, sehingga penggunaannya tidak dapat dihindari. Alkohol atau etanol yang tidak berasal dari industri khamr, baik sintetis maupun hasil fermentasi non-khamr, diperbolehkan dalam obat cair maupun non-cair dengan syarat aman, tidak disalahgunakan, tidak membahayakan kesehatan, dan tidak bertujuan memabukkan. Pada sediaan cair, alkohol sintetis diperbolehkan hingga kadar maksimal 0,5% sesuai ketentuan.</w:t>
      </w:r>
    </w:p>
    <w:p w14:paraId="68CD867E" w14:textId="77777777" w:rsidR="00473614" w:rsidRDefault="00C76877" w:rsidP="008B0016">
      <w:pPr>
        <w:pBdr>
          <w:top w:val="nil"/>
          <w:left w:val="nil"/>
          <w:bottom w:val="nil"/>
          <w:right w:val="nil"/>
          <w:between w:val="nil"/>
        </w:pBdr>
        <w:ind w:firstLine="426"/>
        <w:jc w:val="both"/>
        <w:rPr>
          <w:rFonts w:ascii="Arial Nova" w:eastAsia="Arial" w:hAnsi="Arial Nova" w:cs="Arial"/>
          <w:sz w:val="24"/>
          <w:szCs w:val="24"/>
        </w:rPr>
        <w:sectPr w:rsidR="00473614" w:rsidSect="00473614">
          <w:footerReference w:type="even" r:id="rId30"/>
          <w:pgSz w:w="11909" w:h="16834"/>
          <w:pgMar w:top="1418" w:right="1134" w:bottom="1134" w:left="1134" w:header="720" w:footer="720" w:gutter="0"/>
          <w:cols w:space="720"/>
        </w:sectPr>
      </w:pPr>
      <w:r w:rsidRPr="001142C0">
        <w:rPr>
          <w:rFonts w:ascii="Arial Nova" w:eastAsia="Arial" w:hAnsi="Arial Nova" w:cs="Arial"/>
          <w:sz w:val="24"/>
          <w:szCs w:val="24"/>
        </w:rPr>
        <w:t xml:space="preserve">Sebanyak 10% peserta menilai obat dengan kandungan BKO (Bahan Kimia Obat) adalah haram, karena dianggap beresiko tinggi, tidak memiliki aturan dosis jelas, dan dapat menimbulkan gangguan organ hingga kematian. Praktik penambahan BKO dipandang sebagai kecurangan produsen yang merugikan konsumen, sehingga dilarang tegas oleh </w:t>
      </w:r>
    </w:p>
    <w:p w14:paraId="5108FEC4" w14:textId="1AFCA187" w:rsidR="008B0016" w:rsidRPr="00143C60" w:rsidRDefault="00C76877" w:rsidP="00473614">
      <w:pPr>
        <w:pBdr>
          <w:top w:val="nil"/>
          <w:left w:val="nil"/>
          <w:bottom w:val="nil"/>
          <w:right w:val="nil"/>
          <w:between w:val="nil"/>
        </w:pBdr>
        <w:jc w:val="both"/>
        <w:rPr>
          <w:rFonts w:ascii="Arial Nova" w:eastAsia="Arial" w:hAnsi="Arial Nova" w:cs="Arial"/>
          <w:sz w:val="24"/>
          <w:szCs w:val="24"/>
        </w:rPr>
      </w:pPr>
      <w:r w:rsidRPr="001142C0">
        <w:rPr>
          <w:rFonts w:ascii="Arial Nova" w:eastAsia="Arial" w:hAnsi="Arial Nova" w:cs="Arial"/>
          <w:sz w:val="24"/>
          <w:szCs w:val="24"/>
        </w:rPr>
        <w:t>BPOM (Badan Pengawas Obat dan Makanan) dalam obat tradisional maupun pangan. Peserta juga memahami bahwa efek obat tradisional seharusnya bertahap, sehingga efek instan sering dikaitkan dengan campuran BKO seperti parasetamol, fenilbutason, deksametason, atau sildenafil. Kesadaran ini membentuk persepsi bahwa BKO bukan hanya berbahaya, tetapi juga tidak sesuai nilai moral dan agama, sehingga dianggap haram</w:t>
      </w:r>
      <w:r w:rsidR="00AB6D24">
        <w:rPr>
          <w:rFonts w:ascii="Arial Nova" w:eastAsia="Arial" w:hAnsi="Arial Nova" w:cs="Arial"/>
          <w:sz w:val="24"/>
          <w:szCs w:val="24"/>
        </w:rPr>
        <w:t xml:space="preserve"> </w:t>
      </w:r>
      <w:hyperlink w:anchor="Sidoretno" w:history="1">
        <w:r w:rsidR="00143C60" w:rsidRPr="00380FE9">
          <w:rPr>
            <w:rStyle w:val="Hyperlink"/>
            <w:rFonts w:ascii="Arial Nova" w:eastAsia="Arial" w:hAnsi="Arial Nova" w:cs="Arial"/>
            <w:color w:val="auto"/>
            <w:sz w:val="24"/>
            <w:szCs w:val="24"/>
            <w:u w:val="none"/>
          </w:rPr>
          <w:fldChar w:fldCharType="begin" w:fldLock="1"/>
        </w:r>
        <w:r w:rsidR="00143C60" w:rsidRPr="00380FE9">
          <w:rPr>
            <w:rStyle w:val="Hyperlink"/>
            <w:rFonts w:ascii="Arial Nova" w:eastAsia="Arial" w:hAnsi="Arial Nova" w:cs="Arial"/>
            <w:color w:val="auto"/>
            <w:sz w:val="24"/>
            <w:szCs w:val="24"/>
            <w:u w:val="none"/>
          </w:rPr>
          <w:instrText>ADDIN CSL_CITATION {"citationItems":[{"id":"ITEM-1","itemData":{"DOI":"https://doi.org/10.36341/jpm.v1i2.453","ISSN":"2715-8187","abstract":"Obat Tradisional (OT), merupakan campuran bahan-bahan alami yang berasal daritumbuhan, hewan, mineral, dan gelenika atau campuran dari bahan tersebut yang secaraturun-temurun telah digunakan untuk pengobatan. OT membutuhkan waktu yang lebih lamauntuk memberikan efek kerja dibandingkan obat kimia. Namun sering kali masyarakatmenginginkan OT yang berefek “cespleng”. Padahal sebaliknya, jika khasiat OT cesplengdalam sekali pakai maka perlu diwaspadai kemungkinan ditambahkan bahan kimia obat(BKO). BKO yang ditambahkan seringkali tidak terukur takarannya, sehingga berpotensimembahayakan kesehatan jika digunakan dalam jangka waktu yang lama dan terus-menerus.Tujuan pengabdian ini adalah untuk memberikan informasi dan motivasi kepada kaderposyandu dan PKK untuk memahami bahaya BKO dalam obat tradisional sehingga mampumemberikan penjelasan dan meningkatkan pengetahuan pada masyarakat atas penggunaanobat tradisional sehingga terwujud masyarakat yang sadar obat. Tahap persiapan meliputiaudiensi, koordinasi dan pemantapan dengan mitra kemuadian identifikasi peserta kegiatan.Tahap pelaksanaan yaitu kegiatan berupa pemberian materi, diskusi dan memberikanpelatihan bagaimana cara melihat izin edar obat tradisional pada web BPOM. Pada akhirpelaksanaan diadakan evaluasi dan perbaikan. Hasil kegiatan menunjukkan keberhasilanproses yang ditunjukkan dengan kehadiran peserta mencapai 73,3%. Peningkatanpengetahuan sebesar 60% dan sebanyak 90% peserta telah memiliki pengetahuan dalammemilih obat tradisional yang aman digunakan.","author":[{"dropping-particle":"","family":"Sidoretno","given":"Wahyu Margi","non-dropping-particle":"","parse-names":false,"suffix":""},{"dropping-particle":"","family":"Oktaviani","given":"Ira","non-dropping-particle":"","parse-names":false,"suffix":""}],"container-title":"Jurnal Pengabdian Masyarakat Multidisiplin","id":"ITEM-1","issue":"2","issued":{"date-parts":[["2018"]]},"page":"117-123","title":"Education on the Dangers of Medicinal Chemicals in Traditional Medicine","type":"article-journal","volume":"1"},"uris":["http://www.mendeley.com/documents/?uuid=835b86ce-bb4e-31ce-b8c5-ffd469b379f4"]}],"mendeley":{"formattedCitation":"(Sidoretno &amp; Oktaviani, 2018)","plainTextFormattedCitation":"(Sidoretno &amp; Oktaviani, 2018)","previouslyFormattedCitation":"(Sidoretno &amp; Oktaviani, 2018)"},"properties":{"noteIndex":0},"schema":"https://github.com/citation-style-language/schema/raw/master/csl-citation.json"}</w:instrText>
        </w:r>
        <w:r w:rsidR="00143C60" w:rsidRPr="00380FE9">
          <w:rPr>
            <w:rStyle w:val="Hyperlink"/>
            <w:rFonts w:ascii="Arial Nova" w:eastAsia="Arial" w:hAnsi="Arial Nova" w:cs="Arial"/>
            <w:color w:val="auto"/>
            <w:sz w:val="24"/>
            <w:szCs w:val="24"/>
            <w:u w:val="none"/>
          </w:rPr>
          <w:fldChar w:fldCharType="separate"/>
        </w:r>
        <w:r w:rsidR="00143C60" w:rsidRPr="00380FE9">
          <w:rPr>
            <w:rStyle w:val="Hyperlink"/>
            <w:rFonts w:ascii="Arial Nova" w:eastAsia="Arial" w:hAnsi="Arial Nova" w:cs="Arial"/>
            <w:noProof/>
            <w:color w:val="auto"/>
            <w:sz w:val="24"/>
            <w:szCs w:val="24"/>
            <w:u w:val="none"/>
          </w:rPr>
          <w:t>(Sidoretno &amp; Oktaviani, 2018)</w:t>
        </w:r>
        <w:r w:rsidR="00143C60" w:rsidRPr="00380FE9">
          <w:rPr>
            <w:rStyle w:val="Hyperlink"/>
            <w:rFonts w:ascii="Arial Nova" w:eastAsia="Arial" w:hAnsi="Arial Nova" w:cs="Arial"/>
            <w:color w:val="auto"/>
            <w:sz w:val="24"/>
            <w:szCs w:val="24"/>
            <w:u w:val="none"/>
          </w:rPr>
          <w:fldChar w:fldCharType="end"/>
        </w:r>
      </w:hyperlink>
      <w:r w:rsidR="00143C60" w:rsidRPr="00380FE9">
        <w:rPr>
          <w:rFonts w:ascii="Arial Nova" w:eastAsia="Arial" w:hAnsi="Arial Nova" w:cs="Arial"/>
          <w:sz w:val="24"/>
          <w:szCs w:val="24"/>
        </w:rPr>
        <w:t>.</w:t>
      </w:r>
    </w:p>
    <w:p w14:paraId="7E443C6E" w14:textId="4D0EEF8E" w:rsidR="005A4FC0"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Berikut ini merupakan beberapa dokumentasi dari ke</w:t>
      </w:r>
      <w:bookmarkStart w:id="0" w:name="_GoBack"/>
      <w:bookmarkEnd w:id="0"/>
      <w:r w:rsidRPr="001142C0">
        <w:rPr>
          <w:rFonts w:ascii="Arial Nova" w:eastAsia="Arial" w:hAnsi="Arial Nova" w:cs="Arial"/>
          <w:sz w:val="24"/>
          <w:szCs w:val="24"/>
        </w:rPr>
        <w:t xml:space="preserve">giatan PKM seperti yang terlihat pada Gambar 5. </w:t>
      </w:r>
    </w:p>
    <w:p w14:paraId="1B2D5ABC" w14:textId="1CBA1437" w:rsidR="005A4FC0" w:rsidRPr="001142C0" w:rsidRDefault="00CC4694" w:rsidP="001142C0">
      <w:pPr>
        <w:rPr>
          <w:rFonts w:ascii="Arial Nova" w:hAnsi="Arial Nova"/>
        </w:rPr>
      </w:pPr>
      <w:r w:rsidRPr="001142C0">
        <w:rPr>
          <w:rFonts w:ascii="Arial Nova" w:hAnsi="Arial Nova"/>
          <w:noProof/>
          <w:lang w:val="en-US" w:eastAsia="en-US"/>
        </w:rPr>
        <w:drawing>
          <wp:anchor distT="0" distB="0" distL="114300" distR="114300" simplePos="0" relativeHeight="251658240" behindDoc="0" locked="0" layoutInCell="1" hidden="0" allowOverlap="1" wp14:anchorId="5087EB2D" wp14:editId="7D961A23">
            <wp:simplePos x="0" y="0"/>
            <wp:positionH relativeFrom="column">
              <wp:posOffset>2693670</wp:posOffset>
            </wp:positionH>
            <wp:positionV relativeFrom="paragraph">
              <wp:posOffset>270510</wp:posOffset>
            </wp:positionV>
            <wp:extent cx="2933700" cy="1926590"/>
            <wp:effectExtent l="0" t="0" r="0" b="0"/>
            <wp:wrapTopAndBottom distT="0" dist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1"/>
                    <a:srcRect/>
                    <a:stretch>
                      <a:fillRect/>
                    </a:stretch>
                  </pic:blipFill>
                  <pic:spPr>
                    <a:xfrm>
                      <a:off x="0" y="0"/>
                      <a:ext cx="2933700" cy="1926590"/>
                    </a:xfrm>
                    <a:prstGeom prst="rect">
                      <a:avLst/>
                    </a:prstGeom>
                    <a:ln/>
                  </pic:spPr>
                </pic:pic>
              </a:graphicData>
            </a:graphic>
            <wp14:sizeRelH relativeFrom="margin">
              <wp14:pctWidth>0</wp14:pctWidth>
            </wp14:sizeRelH>
            <wp14:sizeRelV relativeFrom="margin">
              <wp14:pctHeight>0</wp14:pctHeight>
            </wp14:sizeRelV>
          </wp:anchor>
        </w:drawing>
      </w:r>
      <w:r w:rsidR="001142C0" w:rsidRPr="001142C0">
        <w:rPr>
          <w:rFonts w:ascii="Arial Nova" w:hAnsi="Arial Nova"/>
          <w:noProof/>
          <w:lang w:val="en-US" w:eastAsia="en-US"/>
        </w:rPr>
        <w:drawing>
          <wp:anchor distT="0" distB="0" distL="114300" distR="114300" simplePos="0" relativeHeight="251659264" behindDoc="0" locked="0" layoutInCell="1" hidden="0" allowOverlap="1" wp14:anchorId="44DB7CDF" wp14:editId="29A63BD4">
            <wp:simplePos x="0" y="0"/>
            <wp:positionH relativeFrom="column">
              <wp:posOffset>321310</wp:posOffset>
            </wp:positionH>
            <wp:positionV relativeFrom="paragraph">
              <wp:posOffset>270510</wp:posOffset>
            </wp:positionV>
            <wp:extent cx="2390775" cy="1927225"/>
            <wp:effectExtent l="0" t="0" r="9525" b="0"/>
            <wp:wrapTopAndBottom distT="0" dist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32"/>
                    <a:srcRect/>
                    <a:stretch>
                      <a:fillRect/>
                    </a:stretch>
                  </pic:blipFill>
                  <pic:spPr>
                    <a:xfrm>
                      <a:off x="0" y="0"/>
                      <a:ext cx="2390775" cy="1927225"/>
                    </a:xfrm>
                    <a:prstGeom prst="rect">
                      <a:avLst/>
                    </a:prstGeom>
                    <a:ln/>
                  </pic:spPr>
                </pic:pic>
              </a:graphicData>
            </a:graphic>
            <wp14:sizeRelV relativeFrom="margin">
              <wp14:pctHeight>0</wp14:pctHeight>
            </wp14:sizeRelV>
          </wp:anchor>
        </w:drawing>
      </w:r>
    </w:p>
    <w:p w14:paraId="35FE9A17" w14:textId="77777777" w:rsidR="005A4FC0" w:rsidRPr="001142C0" w:rsidRDefault="00C76877">
      <w:pPr>
        <w:pBdr>
          <w:top w:val="nil"/>
          <w:left w:val="nil"/>
          <w:bottom w:val="nil"/>
          <w:right w:val="nil"/>
          <w:between w:val="nil"/>
        </w:pBdr>
        <w:ind w:firstLine="426"/>
        <w:rPr>
          <w:rFonts w:ascii="Arial Nova" w:eastAsia="Arial" w:hAnsi="Arial Nova" w:cs="Arial"/>
          <w:sz w:val="24"/>
          <w:szCs w:val="24"/>
        </w:rPr>
      </w:pPr>
      <w:r w:rsidRPr="00850159">
        <w:rPr>
          <w:rFonts w:ascii="Arial Nova" w:eastAsia="Arial" w:hAnsi="Arial Nova" w:cs="Arial"/>
          <w:b/>
          <w:bCs/>
          <w:sz w:val="22"/>
          <w:szCs w:val="24"/>
        </w:rPr>
        <w:t>Gambar 5</w:t>
      </w:r>
      <w:r w:rsidRPr="00850159">
        <w:rPr>
          <w:rFonts w:ascii="Arial Nova" w:eastAsia="Arial" w:hAnsi="Arial Nova" w:cs="Arial"/>
          <w:sz w:val="22"/>
          <w:szCs w:val="24"/>
        </w:rPr>
        <w:t>. Kegiatan PKM</w:t>
      </w:r>
    </w:p>
    <w:p w14:paraId="1D961933" w14:textId="77777777" w:rsidR="005A4FC0" w:rsidRPr="001142C0" w:rsidRDefault="005A4FC0">
      <w:pPr>
        <w:pBdr>
          <w:top w:val="nil"/>
          <w:left w:val="nil"/>
          <w:bottom w:val="nil"/>
          <w:right w:val="nil"/>
          <w:between w:val="nil"/>
        </w:pBdr>
        <w:ind w:firstLine="720"/>
        <w:jc w:val="both"/>
        <w:rPr>
          <w:rFonts w:ascii="Arial Nova" w:eastAsia="Arial" w:hAnsi="Arial Nova" w:cs="Arial"/>
          <w:sz w:val="24"/>
          <w:szCs w:val="24"/>
        </w:rPr>
      </w:pPr>
    </w:p>
    <w:p w14:paraId="22518AFA" w14:textId="77777777" w:rsidR="005A4FC0" w:rsidRPr="001142C0" w:rsidRDefault="00C76877" w:rsidP="008B0016">
      <w:pPr>
        <w:pBdr>
          <w:top w:val="nil"/>
          <w:left w:val="nil"/>
          <w:bottom w:val="nil"/>
          <w:right w:val="nil"/>
          <w:between w:val="nil"/>
        </w:pBdr>
        <w:ind w:firstLine="426"/>
        <w:jc w:val="both"/>
        <w:rPr>
          <w:rFonts w:ascii="Arial Nova" w:eastAsia="Arial" w:hAnsi="Arial Nova" w:cs="Arial"/>
          <w:sz w:val="24"/>
          <w:szCs w:val="24"/>
        </w:rPr>
      </w:pPr>
      <w:r w:rsidRPr="001142C0">
        <w:rPr>
          <w:rFonts w:ascii="Arial Nova" w:eastAsia="Arial" w:hAnsi="Arial Nova" w:cs="Arial"/>
          <w:sz w:val="24"/>
          <w:szCs w:val="24"/>
        </w:rPr>
        <w:t xml:space="preserve">Berdasarkan Gambar 5. para pemateri memaparkan penyuluhan yang berisi informasi seputar obat halal. Dalam PKM ini, selain penyuluhan lisan, disebarkan pula </w:t>
      </w:r>
      <w:r w:rsidRPr="001142C0">
        <w:rPr>
          <w:rFonts w:ascii="Arial Nova" w:eastAsia="Arial" w:hAnsi="Arial Nova" w:cs="Arial"/>
          <w:i/>
          <w:iCs/>
          <w:sz w:val="24"/>
          <w:szCs w:val="24"/>
        </w:rPr>
        <w:t>leaflet</w:t>
      </w:r>
      <w:r w:rsidRPr="001142C0">
        <w:rPr>
          <w:rFonts w:ascii="Arial Nova" w:eastAsia="Arial" w:hAnsi="Arial Nova" w:cs="Arial"/>
          <w:sz w:val="24"/>
          <w:szCs w:val="24"/>
        </w:rPr>
        <w:t xml:space="preserve"> kepada ibu-ibu pengajian sebagai media edukasi tambahan. </w:t>
      </w:r>
      <w:r w:rsidRPr="001142C0">
        <w:rPr>
          <w:rFonts w:ascii="Arial Nova" w:eastAsia="Arial" w:hAnsi="Arial Nova" w:cs="Arial"/>
          <w:i/>
          <w:iCs/>
          <w:sz w:val="24"/>
          <w:szCs w:val="24"/>
        </w:rPr>
        <w:t>Leaflet</w:t>
      </w:r>
      <w:r w:rsidRPr="001142C0">
        <w:rPr>
          <w:rFonts w:ascii="Arial Nova" w:eastAsia="Arial" w:hAnsi="Arial Nova" w:cs="Arial"/>
          <w:sz w:val="24"/>
          <w:szCs w:val="24"/>
        </w:rPr>
        <w:t xml:space="preserve"> tersebut memuat materi inti mengenai pengertian obat halal, pentingnya memilih obat sesuai syariat, manfaat penggunaan obat halal bagi kesehatan dan keberkahan, serta ciri-ciri obat yang telah bersertifikat halal pada kemasan. Penyebaran </w:t>
      </w:r>
      <w:r w:rsidRPr="001142C0">
        <w:rPr>
          <w:rFonts w:ascii="Arial Nova" w:eastAsia="Arial" w:hAnsi="Arial Nova" w:cs="Arial"/>
          <w:i/>
          <w:iCs/>
          <w:sz w:val="24"/>
          <w:szCs w:val="24"/>
        </w:rPr>
        <w:t>leaflet</w:t>
      </w:r>
      <w:r w:rsidRPr="001142C0">
        <w:rPr>
          <w:rFonts w:ascii="Arial Nova" w:eastAsia="Arial" w:hAnsi="Arial Nova" w:cs="Arial"/>
          <w:sz w:val="24"/>
          <w:szCs w:val="24"/>
        </w:rPr>
        <w:t xml:space="preserve"> bertujuan memperkuat pemahaman peserta, menyediakan referensi tertulis yang dapat dibawa pulang, dan memastikan informasi dapat dibagikan kembali kepada keluarga maupun komunitas. Strategi ini efektif dalam meningkatkan literasi kesehatan sekaligus memperluas jangkauan penyuluhan obat halal secara berkelanjutan.</w:t>
      </w:r>
      <w:r w:rsidRPr="001142C0">
        <w:rPr>
          <w:rFonts w:ascii="Arial Nova" w:eastAsia="Arial" w:hAnsi="Arial Nova" w:cs="Arial"/>
          <w:b/>
          <w:bCs/>
          <w:sz w:val="23"/>
          <w:szCs w:val="23"/>
        </w:rPr>
        <w:t xml:space="preserve"> </w:t>
      </w:r>
    </w:p>
    <w:p w14:paraId="2D4D5D4E" w14:textId="77777777" w:rsidR="005A4FC0" w:rsidRPr="001142C0" w:rsidRDefault="005A4FC0">
      <w:pPr>
        <w:jc w:val="both"/>
        <w:rPr>
          <w:rFonts w:ascii="Arial Nova" w:eastAsia="Arial" w:hAnsi="Arial Nova" w:cs="Arial"/>
          <w:sz w:val="24"/>
          <w:szCs w:val="24"/>
        </w:rPr>
      </w:pPr>
    </w:p>
    <w:p w14:paraId="0C0153EE" w14:textId="77777777" w:rsidR="005A4FC0" w:rsidRPr="001142C0" w:rsidRDefault="00C76877">
      <w:pPr>
        <w:numPr>
          <w:ilvl w:val="0"/>
          <w:numId w:val="1"/>
        </w:numPr>
        <w:pBdr>
          <w:top w:val="nil"/>
          <w:left w:val="nil"/>
          <w:bottom w:val="nil"/>
          <w:right w:val="nil"/>
          <w:between w:val="nil"/>
        </w:pBdr>
        <w:ind w:left="426" w:hanging="426"/>
        <w:jc w:val="both"/>
        <w:rPr>
          <w:rFonts w:ascii="Arial Nova" w:eastAsia="Arial" w:hAnsi="Arial Nova" w:cs="Arial"/>
          <w:b/>
          <w:bCs/>
          <w:sz w:val="24"/>
          <w:szCs w:val="24"/>
        </w:rPr>
      </w:pPr>
      <w:r w:rsidRPr="001142C0">
        <w:rPr>
          <w:rFonts w:ascii="Arial Nova" w:eastAsia="Arial" w:hAnsi="Arial Nova" w:cs="Arial"/>
          <w:b/>
          <w:bCs/>
          <w:sz w:val="24"/>
          <w:szCs w:val="24"/>
        </w:rPr>
        <w:t>KESIMPULAN</w:t>
      </w:r>
    </w:p>
    <w:p w14:paraId="29FD75BA" w14:textId="77777777" w:rsidR="005A4FC0" w:rsidRPr="001142C0" w:rsidRDefault="00C76877">
      <w:pPr>
        <w:jc w:val="both"/>
        <w:rPr>
          <w:rFonts w:ascii="Arial Nova" w:eastAsia="Arial" w:hAnsi="Arial Nova" w:cs="Arial"/>
          <w:sz w:val="24"/>
          <w:szCs w:val="24"/>
        </w:rPr>
      </w:pPr>
      <w:r w:rsidRPr="001142C0">
        <w:rPr>
          <w:rFonts w:ascii="Arial Nova" w:eastAsia="Arial" w:hAnsi="Arial Nova" w:cs="Arial"/>
          <w:sz w:val="24"/>
          <w:szCs w:val="24"/>
        </w:rPr>
        <w:t xml:space="preserve"> </w:t>
      </w:r>
    </w:p>
    <w:p w14:paraId="2BBF11F1" w14:textId="77777777" w:rsidR="00473614" w:rsidRDefault="00C76877">
      <w:pPr>
        <w:ind w:firstLine="426"/>
        <w:jc w:val="both"/>
        <w:rPr>
          <w:rFonts w:ascii="Arial Nova" w:eastAsia="Arial" w:hAnsi="Arial Nova" w:cs="Arial"/>
          <w:sz w:val="24"/>
          <w:szCs w:val="24"/>
        </w:rPr>
        <w:sectPr w:rsidR="00473614" w:rsidSect="00473614">
          <w:footerReference w:type="default" r:id="rId33"/>
          <w:pgSz w:w="11909" w:h="16834"/>
          <w:pgMar w:top="1418" w:right="1134" w:bottom="1134" w:left="1134" w:header="720" w:footer="720" w:gutter="0"/>
          <w:cols w:space="720"/>
        </w:sectPr>
      </w:pPr>
      <w:r w:rsidRPr="001142C0">
        <w:rPr>
          <w:rFonts w:ascii="Arial Nova" w:eastAsia="Arial" w:hAnsi="Arial Nova" w:cs="Arial"/>
          <w:sz w:val="24"/>
          <w:szCs w:val="24"/>
        </w:rPr>
        <w:t xml:space="preserve">Kegiatan PKM di Kampung Cijugul Desa Mekarwangi menunjukkan kontribusi nyata dalam meningkatkan literasi kesehatan masyarakat terkait obat halal. Hasil kuesioner mengindikasikan bahwa sebagian besar peserta masih memiliki keterbatasan pemahaman mengenai konsep kehalalan obat, meskipun mereka relatif lebih familiar dengan simbol visual seperti logo halal. Temuan ini menegaskan adanya kesenjangan pengetahuan antara pengenalan simbol dan pemahaman substansi, yang berakar pada keterbatasan akses informasi serta rendahnya literasi kesehatan. Oleh karena itu, strategi penyuluhan berkelanjutan dengan dukungan media edukasi tertulis dan pemanfaatan kelompok pengajian sebagai agen perubahan menjadi solusi penting. Dengan pendekatan ini, PKM </w:t>
      </w:r>
    </w:p>
    <w:p w14:paraId="7B9A371C" w14:textId="2FAD706F" w:rsidR="005A4FC0" w:rsidRPr="001142C0" w:rsidRDefault="00C76877" w:rsidP="00473614">
      <w:pPr>
        <w:jc w:val="both"/>
        <w:rPr>
          <w:rFonts w:ascii="Arial Nova" w:eastAsia="Arial" w:hAnsi="Arial Nova" w:cs="Arial"/>
          <w:sz w:val="24"/>
          <w:szCs w:val="24"/>
        </w:rPr>
      </w:pPr>
      <w:r w:rsidRPr="001142C0">
        <w:rPr>
          <w:rFonts w:ascii="Arial Nova" w:eastAsia="Arial" w:hAnsi="Arial Nova" w:cs="Arial"/>
          <w:sz w:val="24"/>
          <w:szCs w:val="24"/>
        </w:rPr>
        <w:t>tidak hanya meningkatkan pengetahuan, tetapi juga memperkuat kesadaran kritis masyarakat serta mendukung pembangunan kesehatan berbasis komunitas.</w:t>
      </w:r>
    </w:p>
    <w:p w14:paraId="66412581" w14:textId="77777777" w:rsidR="005A4FC0" w:rsidRPr="001142C0" w:rsidRDefault="005A4FC0">
      <w:pPr>
        <w:jc w:val="both"/>
        <w:rPr>
          <w:rFonts w:ascii="Arial Nova" w:eastAsia="Arial" w:hAnsi="Arial Nova" w:cs="Arial"/>
          <w:sz w:val="24"/>
          <w:szCs w:val="24"/>
        </w:rPr>
      </w:pPr>
    </w:p>
    <w:p w14:paraId="494F82BC" w14:textId="42974101" w:rsidR="005A4FC0" w:rsidRDefault="00C76877" w:rsidP="00AA5D36">
      <w:pPr>
        <w:numPr>
          <w:ilvl w:val="0"/>
          <w:numId w:val="1"/>
        </w:numPr>
        <w:pBdr>
          <w:top w:val="nil"/>
          <w:left w:val="nil"/>
          <w:bottom w:val="nil"/>
          <w:right w:val="nil"/>
          <w:between w:val="nil"/>
        </w:pBdr>
        <w:tabs>
          <w:tab w:val="left" w:pos="426"/>
        </w:tabs>
        <w:spacing w:after="240"/>
        <w:ind w:left="426" w:hanging="426"/>
        <w:jc w:val="both"/>
        <w:rPr>
          <w:rFonts w:ascii="Arial Nova" w:eastAsia="Arial" w:hAnsi="Arial Nova" w:cs="Arial"/>
          <w:b/>
          <w:bCs/>
          <w:sz w:val="24"/>
          <w:szCs w:val="24"/>
        </w:rPr>
      </w:pPr>
      <w:r w:rsidRPr="001142C0">
        <w:rPr>
          <w:rFonts w:ascii="Arial Nova" w:eastAsia="Arial" w:hAnsi="Arial Nova" w:cs="Arial"/>
          <w:b/>
          <w:bCs/>
          <w:sz w:val="24"/>
          <w:szCs w:val="24"/>
        </w:rPr>
        <w:t>DAFTAR PUSTAKA</w:t>
      </w:r>
    </w:p>
    <w:p w14:paraId="04894816" w14:textId="15797FAC"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r>
        <w:rPr>
          <w:rFonts w:ascii="Arial Nova" w:eastAsia="Arial" w:hAnsi="Arial Nova" w:cs="Arial"/>
          <w:b/>
          <w:bCs/>
          <w:sz w:val="24"/>
          <w:szCs w:val="24"/>
        </w:rPr>
        <w:fldChar w:fldCharType="begin" w:fldLock="1"/>
      </w:r>
      <w:r>
        <w:rPr>
          <w:rFonts w:ascii="Arial Nova" w:eastAsia="Arial" w:hAnsi="Arial Nova" w:cs="Arial"/>
          <w:b/>
          <w:bCs/>
          <w:sz w:val="24"/>
          <w:szCs w:val="24"/>
        </w:rPr>
        <w:instrText xml:space="preserve">ADDIN Mendeley Bibliography CSL_BIBLIOGRAPHY </w:instrText>
      </w:r>
      <w:r>
        <w:rPr>
          <w:rFonts w:ascii="Arial Nova" w:eastAsia="Arial" w:hAnsi="Arial Nova" w:cs="Arial"/>
          <w:b/>
          <w:bCs/>
          <w:sz w:val="24"/>
          <w:szCs w:val="24"/>
        </w:rPr>
        <w:fldChar w:fldCharType="separate"/>
      </w:r>
      <w:bookmarkStart w:id="1" w:name="Annisa"/>
      <w:r w:rsidRPr="00143C60">
        <w:rPr>
          <w:rFonts w:ascii="Arial Nova" w:hAnsi="Arial Nova"/>
          <w:noProof/>
          <w:sz w:val="24"/>
          <w:szCs w:val="24"/>
        </w:rPr>
        <w:t>Annisa</w:t>
      </w:r>
      <w:bookmarkEnd w:id="1"/>
      <w:r w:rsidRPr="00143C60">
        <w:rPr>
          <w:rFonts w:ascii="Arial Nova" w:hAnsi="Arial Nova"/>
          <w:noProof/>
          <w:sz w:val="24"/>
          <w:szCs w:val="24"/>
        </w:rPr>
        <w:t xml:space="preserve">, F. (2024). Batas Penggunaan Kadar Alkohol pada Kosmetik dan Obat-Obatan (Analisis terhadap Fatwa MUI Nomor: 40 Tahun 2018 Perspektif Maqasid Syari’ah). </w:t>
      </w:r>
      <w:r w:rsidRPr="00143C60">
        <w:rPr>
          <w:rFonts w:ascii="Arial Nova" w:hAnsi="Arial Nova"/>
          <w:i/>
          <w:iCs/>
          <w:noProof/>
          <w:sz w:val="24"/>
          <w:szCs w:val="24"/>
        </w:rPr>
        <w:t>Wasatiyah: Jurnal Hukum</w:t>
      </w:r>
      <w:r w:rsidRPr="00143C60">
        <w:rPr>
          <w:rFonts w:ascii="Arial Nova" w:hAnsi="Arial Nova"/>
          <w:noProof/>
          <w:sz w:val="24"/>
          <w:szCs w:val="24"/>
        </w:rPr>
        <w:t xml:space="preserve">, </w:t>
      </w:r>
      <w:r w:rsidRPr="00143C60">
        <w:rPr>
          <w:rFonts w:ascii="Arial Nova" w:hAnsi="Arial Nova"/>
          <w:i/>
          <w:iCs/>
          <w:noProof/>
          <w:sz w:val="24"/>
          <w:szCs w:val="24"/>
        </w:rPr>
        <w:t>5</w:t>
      </w:r>
      <w:r w:rsidRPr="00143C60">
        <w:rPr>
          <w:rFonts w:ascii="Arial Nova" w:hAnsi="Arial Nova"/>
          <w:noProof/>
          <w:sz w:val="24"/>
          <w:szCs w:val="24"/>
        </w:rPr>
        <w:t>(2), 1–15. https://doi.org/https://doi.org/10.70338/wasatiyah.v5i2.162</w:t>
      </w:r>
    </w:p>
    <w:p w14:paraId="219F3867"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2" w:name="Hakim"/>
      <w:r w:rsidRPr="00143C60">
        <w:rPr>
          <w:rFonts w:ascii="Arial Nova" w:hAnsi="Arial Nova"/>
          <w:noProof/>
          <w:sz w:val="24"/>
          <w:szCs w:val="24"/>
        </w:rPr>
        <w:t>Hakim</w:t>
      </w:r>
      <w:bookmarkEnd w:id="2"/>
      <w:r w:rsidRPr="00143C60">
        <w:rPr>
          <w:rFonts w:ascii="Arial Nova" w:hAnsi="Arial Nova"/>
          <w:noProof/>
          <w:sz w:val="24"/>
          <w:szCs w:val="24"/>
        </w:rPr>
        <w:t xml:space="preserve">, U. H., &amp; Anggraeni, F. (2023). Industri Farmasi dalam Kajian Produk Halal: Pendekatan Systematic Literature Review. </w:t>
      </w:r>
      <w:r w:rsidRPr="00143C60">
        <w:rPr>
          <w:rFonts w:ascii="Arial Nova" w:hAnsi="Arial Nova"/>
          <w:i/>
          <w:iCs/>
          <w:noProof/>
          <w:sz w:val="24"/>
          <w:szCs w:val="24"/>
        </w:rPr>
        <w:t>JIOSE: Journal of Indonesian Sharia Economics</w:t>
      </w:r>
      <w:r w:rsidRPr="00143C60">
        <w:rPr>
          <w:rFonts w:ascii="Arial Nova" w:hAnsi="Arial Nova"/>
          <w:noProof/>
          <w:sz w:val="24"/>
          <w:szCs w:val="24"/>
        </w:rPr>
        <w:t xml:space="preserve">, </w:t>
      </w:r>
      <w:r w:rsidRPr="00143C60">
        <w:rPr>
          <w:rFonts w:ascii="Arial Nova" w:hAnsi="Arial Nova"/>
          <w:i/>
          <w:iCs/>
          <w:noProof/>
          <w:sz w:val="24"/>
          <w:szCs w:val="24"/>
        </w:rPr>
        <w:t>2</w:t>
      </w:r>
      <w:r w:rsidRPr="00143C60">
        <w:rPr>
          <w:rFonts w:ascii="Arial Nova" w:hAnsi="Arial Nova"/>
          <w:noProof/>
          <w:sz w:val="24"/>
          <w:szCs w:val="24"/>
        </w:rPr>
        <w:t>(2), 171–190. https://doi.org/https://doi.org/10.70338/wasatiyah.v5i2.162</w:t>
      </w:r>
    </w:p>
    <w:p w14:paraId="74439B09"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3" w:name="Mauludhin"/>
      <w:r w:rsidRPr="00143C60">
        <w:rPr>
          <w:rFonts w:ascii="Arial Nova" w:hAnsi="Arial Nova"/>
          <w:noProof/>
          <w:sz w:val="24"/>
          <w:szCs w:val="24"/>
        </w:rPr>
        <w:t>Mauludhin</w:t>
      </w:r>
      <w:bookmarkEnd w:id="3"/>
      <w:r w:rsidRPr="00143C60">
        <w:rPr>
          <w:rFonts w:ascii="Arial Nova" w:hAnsi="Arial Nova"/>
          <w:noProof/>
          <w:sz w:val="24"/>
          <w:szCs w:val="24"/>
        </w:rPr>
        <w:t xml:space="preserve">, M., &amp; Muis, L. S. (2026). Regulasi terhadap Penggolongan Obat di Indonesia Pasca Undang-Undang Nomor 17 Tahun 2023 Tentang Kesehatan. </w:t>
      </w:r>
      <w:r w:rsidRPr="00143C60">
        <w:rPr>
          <w:rFonts w:ascii="Arial Nova" w:hAnsi="Arial Nova"/>
          <w:i/>
          <w:iCs/>
          <w:noProof/>
          <w:sz w:val="24"/>
          <w:szCs w:val="24"/>
        </w:rPr>
        <w:t>Ganaya: Jurnal Ilmu Sosial Dan Humaniora</w:t>
      </w:r>
      <w:r w:rsidRPr="00143C60">
        <w:rPr>
          <w:rFonts w:ascii="Arial Nova" w:hAnsi="Arial Nova"/>
          <w:noProof/>
          <w:sz w:val="24"/>
          <w:szCs w:val="24"/>
        </w:rPr>
        <w:t xml:space="preserve">, </w:t>
      </w:r>
      <w:r w:rsidRPr="00143C60">
        <w:rPr>
          <w:rFonts w:ascii="Arial Nova" w:hAnsi="Arial Nova"/>
          <w:i/>
          <w:iCs/>
          <w:noProof/>
          <w:sz w:val="24"/>
          <w:szCs w:val="24"/>
        </w:rPr>
        <w:t>9</w:t>
      </w:r>
      <w:r w:rsidRPr="00143C60">
        <w:rPr>
          <w:rFonts w:ascii="Arial Nova" w:hAnsi="Arial Nova"/>
          <w:noProof/>
          <w:sz w:val="24"/>
          <w:szCs w:val="24"/>
        </w:rPr>
        <w:t>(1), 88–102. https://doi.org/https://doi.org/10.37329/ganaya.v9i1.5107</w:t>
      </w:r>
    </w:p>
    <w:p w14:paraId="609F9D61" w14:textId="60891368"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4" w:name="Setiawati"/>
      <w:r w:rsidRPr="00143C60">
        <w:rPr>
          <w:rFonts w:ascii="Arial Nova" w:hAnsi="Arial Nova"/>
          <w:noProof/>
          <w:sz w:val="24"/>
          <w:szCs w:val="24"/>
        </w:rPr>
        <w:t>Setiawati</w:t>
      </w:r>
      <w:bookmarkEnd w:id="4"/>
      <w:r w:rsidRPr="00143C60">
        <w:rPr>
          <w:rFonts w:ascii="Arial Nova" w:hAnsi="Arial Nova"/>
          <w:noProof/>
          <w:sz w:val="24"/>
          <w:szCs w:val="24"/>
        </w:rPr>
        <w:t xml:space="preserve">, S., Latifa, M., Fahiratunisa, A. S., &amp; Marlina, L. (2025). Implementasi dan Kepatuhan Prinsip Halal pada Produk Farmasi dan Kosmetik. </w:t>
      </w:r>
      <w:r w:rsidRPr="00143C60">
        <w:rPr>
          <w:rFonts w:ascii="Arial Nova" w:hAnsi="Arial Nova"/>
          <w:i/>
          <w:iCs/>
          <w:noProof/>
          <w:sz w:val="24"/>
          <w:szCs w:val="24"/>
        </w:rPr>
        <w:t>Jurnal Pajak Dan Analisis</w:t>
      </w:r>
      <w:r w:rsidR="00445A49">
        <w:rPr>
          <w:rFonts w:ascii="Arial Nova" w:hAnsi="Arial Nova"/>
          <w:i/>
          <w:iCs/>
          <w:noProof/>
          <w:sz w:val="24"/>
          <w:szCs w:val="24"/>
        </w:rPr>
        <w:t xml:space="preserve"> </w:t>
      </w:r>
      <w:r w:rsidRPr="00143C60">
        <w:rPr>
          <w:rFonts w:ascii="Arial Nova" w:hAnsi="Arial Nova"/>
          <w:i/>
          <w:iCs/>
          <w:noProof/>
          <w:sz w:val="24"/>
          <w:szCs w:val="24"/>
        </w:rPr>
        <w:t>Ekonomi Syariah (JPAES)</w:t>
      </w:r>
      <w:r w:rsidRPr="00143C60">
        <w:rPr>
          <w:rFonts w:ascii="Arial Nova" w:hAnsi="Arial Nova"/>
          <w:noProof/>
          <w:sz w:val="24"/>
          <w:szCs w:val="24"/>
        </w:rPr>
        <w:t xml:space="preserve">, </w:t>
      </w:r>
      <w:r w:rsidRPr="00143C60">
        <w:rPr>
          <w:rFonts w:ascii="Arial Nova" w:hAnsi="Arial Nova"/>
          <w:i/>
          <w:iCs/>
          <w:noProof/>
          <w:sz w:val="24"/>
          <w:szCs w:val="24"/>
        </w:rPr>
        <w:t>2</w:t>
      </w:r>
      <w:r w:rsidRPr="00143C60">
        <w:rPr>
          <w:rFonts w:ascii="Arial Nova" w:hAnsi="Arial Nova"/>
          <w:noProof/>
          <w:sz w:val="24"/>
          <w:szCs w:val="24"/>
        </w:rPr>
        <w:t>(4), 17–26. https://doi.org/https://doi.org/10.61132/jpaes.v2i4.1573</w:t>
      </w:r>
    </w:p>
    <w:p w14:paraId="66658ED8"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5" w:name="Sidoretno"/>
      <w:r w:rsidRPr="00143C60">
        <w:rPr>
          <w:rFonts w:ascii="Arial Nova" w:hAnsi="Arial Nova"/>
          <w:noProof/>
          <w:sz w:val="24"/>
          <w:szCs w:val="24"/>
        </w:rPr>
        <w:t>Sidoretno</w:t>
      </w:r>
      <w:bookmarkEnd w:id="5"/>
      <w:r w:rsidRPr="00143C60">
        <w:rPr>
          <w:rFonts w:ascii="Arial Nova" w:hAnsi="Arial Nova"/>
          <w:noProof/>
          <w:sz w:val="24"/>
          <w:szCs w:val="24"/>
        </w:rPr>
        <w:t xml:space="preserve">, W. M., &amp; Oktaviani, I. (2018). Education on the Dangers of Medicinal Chemicals in Traditional Medicine. </w:t>
      </w:r>
      <w:r w:rsidRPr="00143C60">
        <w:rPr>
          <w:rFonts w:ascii="Arial Nova" w:hAnsi="Arial Nova"/>
          <w:i/>
          <w:iCs/>
          <w:noProof/>
          <w:sz w:val="24"/>
          <w:szCs w:val="24"/>
        </w:rPr>
        <w:t>Jurnal Pengabdian Masyarakat Multidisiplin</w:t>
      </w:r>
      <w:r w:rsidRPr="00143C60">
        <w:rPr>
          <w:rFonts w:ascii="Arial Nova" w:hAnsi="Arial Nova"/>
          <w:noProof/>
          <w:sz w:val="24"/>
          <w:szCs w:val="24"/>
        </w:rPr>
        <w:t xml:space="preserve">, </w:t>
      </w:r>
      <w:r w:rsidRPr="00143C60">
        <w:rPr>
          <w:rFonts w:ascii="Arial Nova" w:hAnsi="Arial Nova"/>
          <w:i/>
          <w:iCs/>
          <w:noProof/>
          <w:sz w:val="24"/>
          <w:szCs w:val="24"/>
        </w:rPr>
        <w:t>1</w:t>
      </w:r>
      <w:r w:rsidRPr="00143C60">
        <w:rPr>
          <w:rFonts w:ascii="Arial Nova" w:hAnsi="Arial Nova"/>
          <w:noProof/>
          <w:sz w:val="24"/>
          <w:szCs w:val="24"/>
        </w:rPr>
        <w:t>(2), 117–123. https://doi.org/https://doi.org/10.36341/jpm.v1i2.453</w:t>
      </w:r>
    </w:p>
    <w:p w14:paraId="6125D0EE"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6" w:name="Subarti"/>
      <w:r w:rsidRPr="00143C60">
        <w:rPr>
          <w:rFonts w:ascii="Arial Nova" w:hAnsi="Arial Nova"/>
          <w:noProof/>
          <w:sz w:val="24"/>
          <w:szCs w:val="24"/>
        </w:rPr>
        <w:t>Subarti</w:t>
      </w:r>
      <w:bookmarkEnd w:id="6"/>
      <w:r w:rsidRPr="00143C60">
        <w:rPr>
          <w:rFonts w:ascii="Arial Nova" w:hAnsi="Arial Nova"/>
          <w:noProof/>
          <w:sz w:val="24"/>
          <w:szCs w:val="24"/>
        </w:rPr>
        <w:t xml:space="preserve">, D., &amp; Sunarmi. (2025). Gambaran Tingkat Pengetahuan tentang Penggolongan Obat dan Jamu pada Ibu-Ibu PKK di Kabupaten Klaten. </w:t>
      </w:r>
      <w:r w:rsidRPr="00143C60">
        <w:rPr>
          <w:rFonts w:ascii="Arial Nova" w:hAnsi="Arial Nova"/>
          <w:i/>
          <w:iCs/>
          <w:noProof/>
          <w:sz w:val="24"/>
          <w:szCs w:val="24"/>
        </w:rPr>
        <w:t>FARMASINDO</w:t>
      </w:r>
      <w:r w:rsidRPr="00143C60">
        <w:rPr>
          <w:rFonts w:ascii="Arial Nova" w:hAnsi="Arial Nova"/>
          <w:noProof/>
          <w:sz w:val="24"/>
          <w:szCs w:val="24"/>
        </w:rPr>
        <w:t xml:space="preserve">, </w:t>
      </w:r>
      <w:r w:rsidRPr="00143C60">
        <w:rPr>
          <w:rFonts w:ascii="Arial Nova" w:hAnsi="Arial Nova"/>
          <w:i/>
          <w:iCs/>
          <w:noProof/>
          <w:sz w:val="24"/>
          <w:szCs w:val="24"/>
        </w:rPr>
        <w:t>9</w:t>
      </w:r>
      <w:r w:rsidRPr="00143C60">
        <w:rPr>
          <w:rFonts w:ascii="Arial Nova" w:hAnsi="Arial Nova"/>
          <w:noProof/>
          <w:sz w:val="24"/>
          <w:szCs w:val="24"/>
        </w:rPr>
        <w:t>(2), 328–334.</w:t>
      </w:r>
    </w:p>
    <w:p w14:paraId="02CD19D9"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7" w:name="Suseno"/>
      <w:r w:rsidRPr="00143C60">
        <w:rPr>
          <w:rFonts w:ascii="Arial Nova" w:hAnsi="Arial Nova"/>
          <w:noProof/>
          <w:sz w:val="24"/>
          <w:szCs w:val="24"/>
        </w:rPr>
        <w:t>Suseno</w:t>
      </w:r>
      <w:bookmarkEnd w:id="7"/>
      <w:r w:rsidRPr="00143C60">
        <w:rPr>
          <w:rFonts w:ascii="Arial Nova" w:hAnsi="Arial Nova"/>
          <w:noProof/>
          <w:sz w:val="24"/>
          <w:szCs w:val="24"/>
        </w:rPr>
        <w:t xml:space="preserve">, D., &amp; Roswiem, A. P. (2018). Isolasi dan Identifikasi Gelatin pada Sediaan Obat Tablet yang Tidak Berbahan Aktif Protein. </w:t>
      </w:r>
      <w:r w:rsidRPr="00143C60">
        <w:rPr>
          <w:rFonts w:ascii="Arial Nova" w:hAnsi="Arial Nova"/>
          <w:i/>
          <w:iCs/>
          <w:noProof/>
          <w:sz w:val="24"/>
          <w:szCs w:val="24"/>
        </w:rPr>
        <w:t>Jurnal EnviScience (Environment Science)</w:t>
      </w:r>
      <w:r w:rsidRPr="00143C60">
        <w:rPr>
          <w:rFonts w:ascii="Arial Nova" w:hAnsi="Arial Nova"/>
          <w:noProof/>
          <w:sz w:val="24"/>
          <w:szCs w:val="24"/>
        </w:rPr>
        <w:t xml:space="preserve">, </w:t>
      </w:r>
      <w:r w:rsidRPr="00143C60">
        <w:rPr>
          <w:rFonts w:ascii="Arial Nova" w:hAnsi="Arial Nova"/>
          <w:i/>
          <w:iCs/>
          <w:noProof/>
          <w:sz w:val="24"/>
          <w:szCs w:val="24"/>
        </w:rPr>
        <w:t>2</w:t>
      </w:r>
      <w:r w:rsidRPr="00143C60">
        <w:rPr>
          <w:rFonts w:ascii="Arial Nova" w:hAnsi="Arial Nova"/>
          <w:noProof/>
          <w:sz w:val="24"/>
          <w:szCs w:val="24"/>
        </w:rPr>
        <w:t>(2), 85–90. https://doi.org/https://doi.org/10.30736/jev.v2i2.69</w:t>
      </w:r>
    </w:p>
    <w:p w14:paraId="11655614"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8" w:name="Utami"/>
      <w:r w:rsidRPr="00143C60">
        <w:rPr>
          <w:rFonts w:ascii="Arial Nova" w:hAnsi="Arial Nova"/>
          <w:noProof/>
          <w:sz w:val="24"/>
          <w:szCs w:val="24"/>
        </w:rPr>
        <w:t>Utami</w:t>
      </w:r>
      <w:bookmarkEnd w:id="8"/>
      <w:r w:rsidRPr="00143C60">
        <w:rPr>
          <w:rFonts w:ascii="Arial Nova" w:hAnsi="Arial Nova"/>
          <w:noProof/>
          <w:sz w:val="24"/>
          <w:szCs w:val="24"/>
        </w:rPr>
        <w:t xml:space="preserve">, Z. Z., &amp; Nurkhasanah, N. (2021). Public Perception of Halal Medicine Certification. </w:t>
      </w:r>
      <w:r w:rsidRPr="00143C60">
        <w:rPr>
          <w:rFonts w:ascii="Arial Nova" w:hAnsi="Arial Nova"/>
          <w:i/>
          <w:iCs/>
          <w:noProof/>
          <w:sz w:val="24"/>
          <w:szCs w:val="24"/>
        </w:rPr>
        <w:t>Journal of Halal Science and Research</w:t>
      </w:r>
      <w:r w:rsidRPr="00143C60">
        <w:rPr>
          <w:rFonts w:ascii="Arial Nova" w:hAnsi="Arial Nova"/>
          <w:noProof/>
          <w:sz w:val="24"/>
          <w:szCs w:val="24"/>
        </w:rPr>
        <w:t xml:space="preserve">, </w:t>
      </w:r>
      <w:r w:rsidRPr="00143C60">
        <w:rPr>
          <w:rFonts w:ascii="Arial Nova" w:hAnsi="Arial Nova"/>
          <w:i/>
          <w:iCs/>
          <w:noProof/>
          <w:sz w:val="24"/>
          <w:szCs w:val="24"/>
        </w:rPr>
        <w:t>2</w:t>
      </w:r>
      <w:r w:rsidRPr="00143C60">
        <w:rPr>
          <w:rFonts w:ascii="Arial Nova" w:hAnsi="Arial Nova"/>
          <w:noProof/>
          <w:sz w:val="24"/>
          <w:szCs w:val="24"/>
        </w:rPr>
        <w:t>(2), 51–56. https://doi.org/https://doi.org/10.12928/jhsr.v2i2.3176</w:t>
      </w:r>
    </w:p>
    <w:p w14:paraId="77A3F23D"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szCs w:val="24"/>
        </w:rPr>
      </w:pPr>
      <w:bookmarkStart w:id="9" w:name="Wahidiyatur"/>
      <w:r w:rsidRPr="00143C60">
        <w:rPr>
          <w:rFonts w:ascii="Arial Nova" w:hAnsi="Arial Nova"/>
          <w:noProof/>
          <w:sz w:val="24"/>
          <w:szCs w:val="24"/>
        </w:rPr>
        <w:t>Wahidiyatur</w:t>
      </w:r>
      <w:bookmarkEnd w:id="9"/>
      <w:r w:rsidRPr="00143C60">
        <w:rPr>
          <w:rFonts w:ascii="Arial Nova" w:hAnsi="Arial Nova"/>
          <w:noProof/>
          <w:sz w:val="24"/>
          <w:szCs w:val="24"/>
        </w:rPr>
        <w:t xml:space="preserve">, N. R., Nafilah, Z., Regina Hartanti, D., Nur Aini, S., Amalia Putri, R., Dwi Anjani, S., Amilia Putri, H., Agustino, F., Dewi, N., Maulidini, C., Anggrayni, R., Meliana J, M. A., &amp; Rahmawati, D. (2024). Artikel Review: Regulasi Obat Tradisional yang Berlaku di Indonesia. </w:t>
      </w:r>
      <w:r w:rsidRPr="00143C60">
        <w:rPr>
          <w:rFonts w:ascii="Arial Nova" w:hAnsi="Arial Nova"/>
          <w:i/>
          <w:iCs/>
          <w:noProof/>
          <w:sz w:val="24"/>
          <w:szCs w:val="24"/>
        </w:rPr>
        <w:t>Jurnal Pelayanan Dan Teknologi Kefarmasian Indonesia</w:t>
      </w:r>
      <w:r w:rsidRPr="00143C60">
        <w:rPr>
          <w:rFonts w:ascii="Arial Nova" w:hAnsi="Arial Nova"/>
          <w:noProof/>
          <w:sz w:val="24"/>
          <w:szCs w:val="24"/>
        </w:rPr>
        <w:t xml:space="preserve">, </w:t>
      </w:r>
      <w:r w:rsidRPr="00143C60">
        <w:rPr>
          <w:rFonts w:ascii="Arial Nova" w:hAnsi="Arial Nova"/>
          <w:i/>
          <w:iCs/>
          <w:noProof/>
          <w:sz w:val="24"/>
          <w:szCs w:val="24"/>
        </w:rPr>
        <w:t>01</w:t>
      </w:r>
      <w:r w:rsidRPr="00143C60">
        <w:rPr>
          <w:rFonts w:ascii="Arial Nova" w:hAnsi="Arial Nova"/>
          <w:noProof/>
          <w:sz w:val="24"/>
          <w:szCs w:val="24"/>
        </w:rPr>
        <w:t>(01), 10–16. https://doi.org/https://doi.org/10.66340/wmjff888</w:t>
      </w:r>
    </w:p>
    <w:p w14:paraId="67910F1C" w14:textId="77777777" w:rsidR="00143C60" w:rsidRPr="00143C60" w:rsidRDefault="00143C60" w:rsidP="00143C60">
      <w:pPr>
        <w:widowControl w:val="0"/>
        <w:pBdr>
          <w:top w:val="nil"/>
        </w:pBdr>
        <w:autoSpaceDE w:val="0"/>
        <w:autoSpaceDN w:val="0"/>
        <w:adjustRightInd w:val="0"/>
        <w:ind w:left="480" w:hanging="480"/>
        <w:jc w:val="both"/>
        <w:rPr>
          <w:rFonts w:ascii="Arial Nova" w:hAnsi="Arial Nova"/>
          <w:noProof/>
          <w:sz w:val="24"/>
        </w:rPr>
      </w:pPr>
      <w:bookmarkStart w:id="10" w:name="Warto"/>
      <w:r w:rsidRPr="00143C60">
        <w:rPr>
          <w:rFonts w:ascii="Arial Nova" w:hAnsi="Arial Nova"/>
          <w:noProof/>
          <w:sz w:val="24"/>
          <w:szCs w:val="24"/>
        </w:rPr>
        <w:t>Warto</w:t>
      </w:r>
      <w:bookmarkEnd w:id="10"/>
      <w:r w:rsidRPr="00143C60">
        <w:rPr>
          <w:rFonts w:ascii="Arial Nova" w:hAnsi="Arial Nova"/>
          <w:noProof/>
          <w:sz w:val="24"/>
          <w:szCs w:val="24"/>
        </w:rPr>
        <w:t xml:space="preserve">, W., &amp; Arif, Z. (2020). Bisnis Produk Halal antara Peluang dan Tantangan, Problematika dan Solusinya. </w:t>
      </w:r>
      <w:r w:rsidRPr="00143C60">
        <w:rPr>
          <w:rFonts w:ascii="Arial Nova" w:hAnsi="Arial Nova"/>
          <w:i/>
          <w:iCs/>
          <w:noProof/>
          <w:sz w:val="24"/>
          <w:szCs w:val="24"/>
        </w:rPr>
        <w:t>Al-Ulum</w:t>
      </w:r>
      <w:r w:rsidRPr="00143C60">
        <w:rPr>
          <w:rFonts w:ascii="Arial Nova" w:hAnsi="Arial Nova"/>
          <w:noProof/>
          <w:sz w:val="24"/>
          <w:szCs w:val="24"/>
        </w:rPr>
        <w:t xml:space="preserve">, </w:t>
      </w:r>
      <w:r w:rsidRPr="00143C60">
        <w:rPr>
          <w:rFonts w:ascii="Arial Nova" w:hAnsi="Arial Nova"/>
          <w:i/>
          <w:iCs/>
          <w:noProof/>
          <w:sz w:val="24"/>
          <w:szCs w:val="24"/>
        </w:rPr>
        <w:t>20</w:t>
      </w:r>
      <w:r w:rsidRPr="00143C60">
        <w:rPr>
          <w:rFonts w:ascii="Arial Nova" w:hAnsi="Arial Nova"/>
          <w:noProof/>
          <w:sz w:val="24"/>
          <w:szCs w:val="24"/>
        </w:rPr>
        <w:t>(1), 274–294. https://doi.org/10.30603/au.v20i1.1170</w:t>
      </w:r>
    </w:p>
    <w:p w14:paraId="26120DB0" w14:textId="27CE8D76" w:rsidR="00AA5D36" w:rsidRDefault="00143C60" w:rsidP="00143C60">
      <w:pPr>
        <w:pBdr>
          <w:top w:val="nil"/>
          <w:left w:val="nil"/>
          <w:bottom w:val="nil"/>
          <w:right w:val="nil"/>
          <w:between w:val="nil"/>
        </w:pBdr>
        <w:tabs>
          <w:tab w:val="left" w:pos="426"/>
        </w:tabs>
        <w:spacing w:after="240"/>
        <w:jc w:val="both"/>
        <w:rPr>
          <w:rFonts w:ascii="Arial Nova" w:eastAsia="Arial" w:hAnsi="Arial Nova" w:cs="Arial"/>
          <w:b/>
          <w:bCs/>
          <w:sz w:val="24"/>
          <w:szCs w:val="24"/>
        </w:rPr>
      </w:pPr>
      <w:r>
        <w:rPr>
          <w:rFonts w:ascii="Arial Nova" w:eastAsia="Arial" w:hAnsi="Arial Nova" w:cs="Arial"/>
          <w:b/>
          <w:bCs/>
          <w:sz w:val="24"/>
          <w:szCs w:val="24"/>
        </w:rPr>
        <w:fldChar w:fldCharType="end"/>
      </w:r>
    </w:p>
    <w:p w14:paraId="3FA59E2D" w14:textId="77777777" w:rsidR="00AA5D36" w:rsidRPr="00AA5D36" w:rsidRDefault="00AA5D36" w:rsidP="00AA5D36">
      <w:pPr>
        <w:pBdr>
          <w:top w:val="nil"/>
          <w:left w:val="nil"/>
          <w:bottom w:val="nil"/>
          <w:right w:val="nil"/>
          <w:between w:val="nil"/>
        </w:pBdr>
        <w:tabs>
          <w:tab w:val="left" w:pos="426"/>
        </w:tabs>
        <w:ind w:left="426"/>
        <w:jc w:val="both"/>
        <w:rPr>
          <w:rFonts w:ascii="Arial Nova" w:eastAsia="Arial" w:hAnsi="Arial Nova" w:cs="Arial"/>
          <w:bCs/>
          <w:sz w:val="24"/>
          <w:szCs w:val="24"/>
        </w:rPr>
      </w:pPr>
    </w:p>
    <w:sectPr w:rsidR="00AA5D36" w:rsidRPr="00AA5D36" w:rsidSect="00473614">
      <w:footerReference w:type="even" r:id="rId34"/>
      <w:pgSz w:w="11909" w:h="16834"/>
      <w:pgMar w:top="1418"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8B902" w14:textId="77777777" w:rsidR="00430EED" w:rsidRDefault="00430EED">
      <w:r>
        <w:separator/>
      </w:r>
    </w:p>
  </w:endnote>
  <w:endnote w:type="continuationSeparator" w:id="0">
    <w:p w14:paraId="1D380F57" w14:textId="77777777" w:rsidR="00430EED" w:rsidRDefault="00430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91B97C8-9386-4FF8-A657-CA34A1C9D168}"/>
  </w:font>
  <w:font w:name="Arial Nova">
    <w:altName w:val="Arial"/>
    <w:charset w:val="00"/>
    <w:family w:val="swiss"/>
    <w:pitch w:val="variable"/>
    <w:sig w:usb0="0000028F" w:usb1="00000002" w:usb2="00000000" w:usb3="00000000" w:csb0="0000019F" w:csb1="00000000"/>
    <w:embedRegular r:id="rId2" w:fontKey="{CB74FBAD-ED0A-46F4-8C8E-61BEB63BA900}"/>
    <w:embedBold r:id="rId3" w:fontKey="{87E405EE-2477-4E01-A07A-57E24FA2DBB7}"/>
    <w:embedItalic r:id="rId4" w:fontKey="{7CB86FE5-06D7-4D55-BFC8-8F3BB42AED3B}"/>
    <w:embedBoldItalic r:id="rId5" w:fontKey="{EFF7C935-947F-4B4E-8B58-25CB0D2D1032}"/>
  </w:font>
  <w:font w:name="Cambria">
    <w:panose1 w:val="02040503050406030204"/>
    <w:charset w:val="00"/>
    <w:family w:val="roman"/>
    <w:pitch w:val="variable"/>
    <w:sig w:usb0="E00006FF" w:usb1="420024FF" w:usb2="02000000" w:usb3="00000000" w:csb0="0000019F" w:csb1="00000000"/>
    <w:embedRegular r:id="rId6" w:fontKey="{479403E4-4E37-4B31-8816-13599ADE19FF}"/>
  </w:font>
  <w:font w:name="Palatino Linotype">
    <w:charset w:val="00"/>
    <w:family w:val="roman"/>
    <w:pitch w:val="variable"/>
    <w:sig w:usb0="E0000287" w:usb1="40000013" w:usb2="00000000" w:usb3="00000000" w:csb0="0000019F" w:csb1="00000000"/>
    <w:embedRegular r:id="rId7" w:fontKey="{E1F20C6A-0B8B-4434-84E4-EEDD78E8E43E}"/>
    <w:embedBold r:id="rId8" w:fontKey="{B0A500F8-1E39-4F09-BB63-D7F87C6ECEFA}"/>
    <w:embedItalic r:id="rId9" w:fontKey="{5ED14DC0-986E-45A8-97E6-81CF828BF5DE}"/>
  </w:font>
  <w:font w:name="Calibri">
    <w:panose1 w:val="020F0502020204030204"/>
    <w:charset w:val="00"/>
    <w:family w:val="swiss"/>
    <w:pitch w:val="variable"/>
    <w:sig w:usb0="E4002EFF" w:usb1="C000247B" w:usb2="00000009" w:usb3="00000000" w:csb0="000001FF" w:csb1="00000000"/>
    <w:embedRegular r:id="rId10" w:fontKey="{BF7B411C-3762-4551-9D13-643E2C95D4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C2237" w14:textId="6F00E61D" w:rsidR="005A4FC0" w:rsidRPr="00473614" w:rsidRDefault="00473614" w:rsidP="00473614">
    <w:pPr>
      <w:pBdr>
        <w:top w:val="single" w:sz="4" w:space="1" w:color="000000"/>
        <w:left w:val="nil"/>
        <w:bottom w:val="nil"/>
        <w:right w:val="nil"/>
        <w:between w:val="nil"/>
      </w:pBdr>
      <w:tabs>
        <w:tab w:val="center" w:pos="4513"/>
        <w:tab w:val="right" w:pos="9026"/>
        <w:tab w:val="center" w:pos="4680"/>
        <w:tab w:val="right" w:pos="9360"/>
      </w:tabs>
      <w:jc w:val="right"/>
      <w:rPr>
        <w:color w:val="000000"/>
        <w:sz w:val="22"/>
        <w:szCs w:val="22"/>
        <w:lang w:val="en-US"/>
      </w:rPr>
    </w:pPr>
    <w:r>
      <w:rPr>
        <w:color w:val="000000"/>
        <w:sz w:val="22"/>
        <w:szCs w:val="22"/>
        <w:lang w:val="en-US"/>
      </w:rPr>
      <w:t>37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9C825" w14:textId="1ED157D8" w:rsidR="005A4FC0" w:rsidRDefault="00C76877">
    <w:pPr>
      <w:pBdr>
        <w:top w:val="single" w:sz="4" w:space="1" w:color="000000"/>
        <w:left w:val="nil"/>
        <w:bottom w:val="nil"/>
        <w:right w:val="nil"/>
        <w:between w:val="nil"/>
      </w:pBdr>
      <w:tabs>
        <w:tab w:val="center" w:pos="4513"/>
        <w:tab w:val="right" w:pos="9026"/>
        <w:tab w:val="left" w:pos="2805"/>
        <w:tab w:val="center" w:pos="4680"/>
        <w:tab w:val="right" w:pos="9360"/>
        <w:tab w:val="right" w:pos="9639"/>
      </w:tabs>
      <w:jc w:val="left"/>
      <w:rPr>
        <w:color w:val="000000"/>
      </w:rPr>
    </w:pPr>
    <w:r>
      <w:rPr>
        <w:color w:val="000000"/>
      </w:rPr>
      <w:tab/>
    </w:r>
    <w:r>
      <w:rPr>
        <w:color w:val="000000"/>
      </w:rPr>
      <w:tab/>
    </w:r>
    <w:r>
      <w:rPr>
        <w:color w:val="000000"/>
      </w:rPr>
      <w:tab/>
    </w:r>
    <w:r>
      <w:rPr>
        <w:color w:val="000000"/>
      </w:rPr>
      <w:tab/>
    </w:r>
    <w:r w:rsidR="00473614">
      <w:rPr>
        <w:color w:val="000000"/>
      </w:rPr>
      <w:t>36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F7D43" w14:textId="0AFBD5AB" w:rsidR="00473614" w:rsidRDefault="00473614">
    <w:pPr>
      <w:pBdr>
        <w:top w:val="single" w:sz="4" w:space="1" w:color="000000"/>
        <w:left w:val="nil"/>
        <w:bottom w:val="nil"/>
        <w:right w:val="nil"/>
        <w:between w:val="nil"/>
      </w:pBdr>
      <w:tabs>
        <w:tab w:val="center" w:pos="4513"/>
        <w:tab w:val="right" w:pos="9026"/>
        <w:tab w:val="left" w:pos="2805"/>
        <w:tab w:val="center" w:pos="4680"/>
        <w:tab w:val="right" w:pos="9360"/>
        <w:tab w:val="right" w:pos="9639"/>
      </w:tabs>
      <w:jc w:val="left"/>
      <w:rPr>
        <w:color w:val="000000"/>
      </w:rPr>
    </w:pPr>
    <w:r>
      <w:rPr>
        <w:color w:val="000000"/>
      </w:rPr>
      <w:tab/>
    </w:r>
    <w:r>
      <w:rPr>
        <w:color w:val="000000"/>
      </w:rPr>
      <w:tab/>
    </w:r>
    <w:r>
      <w:rPr>
        <w:color w:val="000000"/>
      </w:rPr>
      <w:tab/>
    </w:r>
    <w:r>
      <w:rPr>
        <w:color w:val="000000"/>
      </w:rPr>
      <w:tab/>
      <w:t>38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CCE07" w14:textId="5654C42B" w:rsidR="00473614" w:rsidRPr="00473614" w:rsidRDefault="00473614" w:rsidP="00473614">
    <w:pPr>
      <w:pBdr>
        <w:top w:val="single" w:sz="4" w:space="1" w:color="000000"/>
        <w:left w:val="nil"/>
        <w:bottom w:val="nil"/>
        <w:right w:val="nil"/>
        <w:between w:val="nil"/>
      </w:pBdr>
      <w:tabs>
        <w:tab w:val="center" w:pos="4513"/>
        <w:tab w:val="right" w:pos="9026"/>
        <w:tab w:val="center" w:pos="4680"/>
        <w:tab w:val="right" w:pos="9360"/>
      </w:tabs>
      <w:jc w:val="right"/>
      <w:rPr>
        <w:color w:val="000000"/>
        <w:sz w:val="22"/>
        <w:szCs w:val="22"/>
        <w:lang w:val="en-US"/>
      </w:rPr>
    </w:pPr>
    <w:r>
      <w:rPr>
        <w:color w:val="000000"/>
        <w:sz w:val="22"/>
        <w:szCs w:val="22"/>
        <w:lang w:val="en-US"/>
      </w:rPr>
      <w:t>39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2DFE8" w14:textId="056CCABF" w:rsidR="001B201F" w:rsidRDefault="001B201F">
    <w:pPr>
      <w:pBdr>
        <w:top w:val="single" w:sz="4" w:space="1" w:color="000000"/>
        <w:left w:val="nil"/>
        <w:bottom w:val="nil"/>
        <w:right w:val="nil"/>
        <w:between w:val="nil"/>
      </w:pBdr>
      <w:tabs>
        <w:tab w:val="center" w:pos="4513"/>
        <w:tab w:val="right" w:pos="9026"/>
        <w:tab w:val="left" w:pos="2805"/>
        <w:tab w:val="center" w:pos="4680"/>
        <w:tab w:val="right" w:pos="9360"/>
        <w:tab w:val="right" w:pos="9639"/>
      </w:tabs>
      <w:jc w:val="left"/>
      <w:rPr>
        <w:color w:val="000000"/>
      </w:rPr>
    </w:pPr>
    <w:r>
      <w:rPr>
        <w:color w:val="000000"/>
      </w:rPr>
      <w:tab/>
    </w:r>
    <w:r>
      <w:rPr>
        <w:color w:val="000000"/>
      </w:rPr>
      <w:tab/>
    </w:r>
    <w:r>
      <w:rPr>
        <w:color w:val="000000"/>
      </w:rPr>
      <w:tab/>
    </w:r>
    <w:r>
      <w:rPr>
        <w:color w:val="000000"/>
      </w:rPr>
      <w:tab/>
      <w:t>40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A55B4" w14:textId="5D6B42D9" w:rsidR="001B201F" w:rsidRPr="00473614" w:rsidRDefault="001B201F" w:rsidP="00473614">
    <w:pPr>
      <w:pBdr>
        <w:top w:val="single" w:sz="4" w:space="1" w:color="000000"/>
        <w:left w:val="nil"/>
        <w:bottom w:val="nil"/>
        <w:right w:val="nil"/>
        <w:between w:val="nil"/>
      </w:pBdr>
      <w:tabs>
        <w:tab w:val="center" w:pos="4513"/>
        <w:tab w:val="right" w:pos="9026"/>
        <w:tab w:val="center" w:pos="4680"/>
        <w:tab w:val="right" w:pos="9360"/>
      </w:tabs>
      <w:jc w:val="right"/>
      <w:rPr>
        <w:color w:val="000000"/>
        <w:sz w:val="22"/>
        <w:szCs w:val="22"/>
        <w:lang w:val="en-US"/>
      </w:rPr>
    </w:pPr>
    <w:r>
      <w:rPr>
        <w:color w:val="000000"/>
        <w:sz w:val="22"/>
        <w:szCs w:val="22"/>
        <w:lang w:val="en-US"/>
      </w:rPr>
      <w:t>41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687D2" w14:textId="7EBA2251" w:rsidR="00473614" w:rsidRDefault="00473614">
    <w:pPr>
      <w:pBdr>
        <w:top w:val="single" w:sz="4" w:space="1" w:color="000000"/>
        <w:left w:val="nil"/>
        <w:bottom w:val="nil"/>
        <w:right w:val="nil"/>
        <w:between w:val="nil"/>
      </w:pBdr>
      <w:tabs>
        <w:tab w:val="center" w:pos="4513"/>
        <w:tab w:val="right" w:pos="9026"/>
        <w:tab w:val="left" w:pos="2805"/>
        <w:tab w:val="center" w:pos="4680"/>
        <w:tab w:val="right" w:pos="9360"/>
        <w:tab w:val="right" w:pos="9639"/>
      </w:tabs>
      <w:jc w:val="left"/>
      <w:rPr>
        <w:color w:val="000000"/>
      </w:rPr>
    </w:pPr>
    <w:r>
      <w:rPr>
        <w:color w:val="000000"/>
      </w:rPr>
      <w:tab/>
    </w:r>
    <w:r>
      <w:rPr>
        <w:color w:val="000000"/>
      </w:rPr>
      <w:tab/>
    </w:r>
    <w:r>
      <w:rPr>
        <w:color w:val="000000"/>
      </w:rPr>
      <w:tab/>
    </w:r>
    <w:r>
      <w:rPr>
        <w:color w:val="000000"/>
      </w:rPr>
      <w:tab/>
    </w:r>
    <w:r w:rsidR="001B201F">
      <w:rPr>
        <w:color w:val="000000"/>
      </w:rPr>
      <w:t>42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F26C2" w14:textId="74D1BC99" w:rsidR="001B201F" w:rsidRPr="00473614" w:rsidRDefault="001B201F" w:rsidP="00473614">
    <w:pPr>
      <w:pBdr>
        <w:top w:val="single" w:sz="4" w:space="1" w:color="000000"/>
        <w:left w:val="nil"/>
        <w:bottom w:val="nil"/>
        <w:right w:val="nil"/>
        <w:between w:val="nil"/>
      </w:pBdr>
      <w:tabs>
        <w:tab w:val="center" w:pos="4513"/>
        <w:tab w:val="right" w:pos="9026"/>
        <w:tab w:val="center" w:pos="4680"/>
        <w:tab w:val="right" w:pos="9360"/>
      </w:tabs>
      <w:jc w:val="right"/>
      <w:rPr>
        <w:color w:val="000000"/>
        <w:sz w:val="22"/>
        <w:szCs w:val="22"/>
        <w:lang w:val="en-US"/>
      </w:rPr>
    </w:pPr>
    <w:r>
      <w:rPr>
        <w:color w:val="000000"/>
        <w:sz w:val="22"/>
        <w:szCs w:val="22"/>
        <w:lang w:val="en-US"/>
      </w:rPr>
      <w:t>43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EA7035" w14:textId="77777777" w:rsidR="00430EED" w:rsidRDefault="00430EED">
      <w:r>
        <w:separator/>
      </w:r>
    </w:p>
  </w:footnote>
  <w:footnote w:type="continuationSeparator" w:id="0">
    <w:p w14:paraId="117EB6FE" w14:textId="77777777" w:rsidR="00430EED" w:rsidRDefault="00430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9CE79" w14:textId="20350D53" w:rsidR="005A4FC0" w:rsidRDefault="00C76877">
    <w:pPr>
      <w:pBdr>
        <w:top w:val="nil"/>
        <w:left w:val="nil"/>
        <w:bottom w:val="single" w:sz="4" w:space="1" w:color="000000"/>
        <w:right w:val="nil"/>
        <w:between w:val="nil"/>
      </w:pBdr>
      <w:tabs>
        <w:tab w:val="center" w:pos="4513"/>
        <w:tab w:val="right" w:pos="9026"/>
        <w:tab w:val="center" w:pos="4680"/>
        <w:tab w:val="right" w:pos="9639"/>
      </w:tabs>
      <w:jc w:val="left"/>
      <w:rPr>
        <w:color w:val="000000"/>
        <w:sz w:val="22"/>
        <w:szCs w:val="22"/>
      </w:rPr>
    </w:pPr>
    <w:r>
      <w:rPr>
        <w:color w:val="000000"/>
        <w:sz w:val="22"/>
        <w:szCs w:val="22"/>
      </w:rPr>
      <w:t xml:space="preserve">Jurnal Penelitian dan Pengabdian </w:t>
    </w:r>
    <w:r w:rsidR="001B201F">
      <w:rPr>
        <w:color w:val="000000"/>
        <w:sz w:val="22"/>
        <w:szCs w:val="22"/>
      </w:rPr>
      <w:t>Kepada Masyarakat NURAGA, Vol. 2</w:t>
    </w:r>
    <w:r>
      <w:rPr>
        <w:color w:val="000000"/>
        <w:sz w:val="22"/>
        <w:szCs w:val="22"/>
      </w:rPr>
      <w:t xml:space="preserve"> No. 1</w:t>
    </w:r>
  </w:p>
  <w:p w14:paraId="6B02D88A" w14:textId="15329763" w:rsidR="005A4FC0" w:rsidRDefault="00C76877">
    <w:pPr>
      <w:pBdr>
        <w:top w:val="nil"/>
        <w:left w:val="nil"/>
        <w:bottom w:val="single" w:sz="4" w:space="1" w:color="000000"/>
        <w:right w:val="nil"/>
        <w:between w:val="nil"/>
      </w:pBdr>
      <w:tabs>
        <w:tab w:val="center" w:pos="4513"/>
        <w:tab w:val="right" w:pos="9026"/>
        <w:tab w:val="center" w:pos="4680"/>
        <w:tab w:val="right" w:pos="9639"/>
      </w:tabs>
      <w:jc w:val="left"/>
      <w:rPr>
        <w:color w:val="000000"/>
        <w:sz w:val="22"/>
        <w:szCs w:val="22"/>
      </w:rPr>
    </w:pPr>
    <w:r>
      <w:rPr>
        <w:color w:val="000000"/>
        <w:sz w:val="22"/>
        <w:szCs w:val="22"/>
      </w:rPr>
      <w:t xml:space="preserve">ISSN (online): </w:t>
    </w:r>
    <w:r w:rsidR="001B201F" w:rsidRPr="0024573A">
      <w:rPr>
        <w:rFonts w:asciiTheme="majorBidi" w:eastAsiaTheme="minorHAnsi" w:hAnsiTheme="majorBidi" w:cstheme="majorBidi"/>
        <w:sz w:val="22"/>
        <w:szCs w:val="22"/>
      </w:rPr>
      <w:t>3123-7347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41C35" w14:textId="77777777" w:rsidR="005A4FC0" w:rsidRDefault="00C76877">
    <w:pPr>
      <w:pBdr>
        <w:top w:val="nil"/>
        <w:left w:val="nil"/>
        <w:bottom w:val="single" w:sz="4" w:space="1" w:color="000000"/>
        <w:right w:val="nil"/>
        <w:between w:val="nil"/>
      </w:pBdr>
      <w:tabs>
        <w:tab w:val="center" w:pos="4513"/>
        <w:tab w:val="right" w:pos="9026"/>
        <w:tab w:val="center" w:pos="4680"/>
        <w:tab w:val="right" w:pos="9639"/>
      </w:tabs>
      <w:jc w:val="left"/>
      <w:rPr>
        <w:color w:val="000000"/>
        <w:sz w:val="22"/>
        <w:szCs w:val="22"/>
      </w:rPr>
    </w:pPr>
    <w:r>
      <w:rPr>
        <w:noProof/>
        <w:color w:val="000000"/>
        <w:sz w:val="22"/>
        <w:szCs w:val="22"/>
        <w:lang w:val="en-US" w:eastAsia="en-US"/>
      </w:rPr>
      <w:drawing>
        <wp:inline distT="0" distB="0" distL="0" distR="0" wp14:anchorId="5503386F" wp14:editId="7798D0B7">
          <wp:extent cx="6122035" cy="78232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2035" cy="782320"/>
                  </a:xfrm>
                  <a:prstGeom prst="rect">
                    <a:avLst/>
                  </a:prstGeom>
                  <a:ln/>
                </pic:spPr>
              </pic:pic>
            </a:graphicData>
          </a:graphic>
        </wp:inline>
      </w:drawing>
    </w:r>
    <w:r>
      <w:rPr>
        <w:color w:val="000000"/>
        <w:sz w:val="22"/>
        <w:szCs w:val="22"/>
      </w:rPr>
      <w:t xml:space="preserve"> </w:t>
    </w:r>
  </w:p>
  <w:p w14:paraId="451AE6D5" w14:textId="77777777" w:rsidR="005A4FC0" w:rsidRDefault="00430EED">
    <w:pPr>
      <w:pBdr>
        <w:top w:val="nil"/>
        <w:left w:val="nil"/>
        <w:bottom w:val="single" w:sz="4" w:space="1" w:color="000000"/>
        <w:right w:val="nil"/>
        <w:between w:val="nil"/>
      </w:pBdr>
      <w:tabs>
        <w:tab w:val="center" w:pos="4513"/>
        <w:tab w:val="right" w:pos="9026"/>
        <w:tab w:val="center" w:pos="4680"/>
        <w:tab w:val="right" w:pos="9639"/>
      </w:tabs>
      <w:rPr>
        <w:color w:val="000000"/>
        <w:sz w:val="22"/>
        <w:szCs w:val="22"/>
      </w:rPr>
    </w:pPr>
    <w:hyperlink r:id="rId2">
      <w:r w:rsidR="005A4FC0">
        <w:rPr>
          <w:color w:val="0000FF"/>
          <w:sz w:val="22"/>
          <w:szCs w:val="22"/>
          <w:u w:val="single"/>
        </w:rPr>
        <w:t>https://journal.uniga.ac.id/index.php/NURAGA/index</w:t>
      </w:r>
    </w:hyperlink>
  </w:p>
  <w:p w14:paraId="34166175" w14:textId="7E1C45EA" w:rsidR="005A4FC0" w:rsidRDefault="00380FE9">
    <w:pPr>
      <w:pBdr>
        <w:top w:val="nil"/>
        <w:left w:val="nil"/>
        <w:bottom w:val="single" w:sz="4" w:space="1" w:color="000000"/>
        <w:right w:val="nil"/>
        <w:between w:val="nil"/>
      </w:pBdr>
      <w:tabs>
        <w:tab w:val="center" w:pos="4513"/>
        <w:tab w:val="right" w:pos="9026"/>
        <w:tab w:val="center" w:pos="4680"/>
        <w:tab w:val="right" w:pos="9639"/>
      </w:tabs>
      <w:rPr>
        <w:color w:val="000000"/>
        <w:sz w:val="22"/>
        <w:szCs w:val="22"/>
      </w:rPr>
    </w:pPr>
    <w:r>
      <w:rPr>
        <w:color w:val="000000"/>
        <w:sz w:val="22"/>
        <w:szCs w:val="22"/>
      </w:rPr>
      <w:t>Vol. 2 No. 1</w:t>
    </w:r>
    <w:r w:rsidR="001B201F">
      <w:rPr>
        <w:color w:val="000000"/>
        <w:sz w:val="22"/>
        <w:szCs w:val="22"/>
      </w:rPr>
      <w:t>, 36 – 43</w:t>
    </w:r>
    <w:r w:rsidR="00C76877">
      <w:rPr>
        <w:color w:val="000000"/>
        <w:sz w:val="22"/>
        <w:szCs w:val="22"/>
      </w:rPr>
      <w:t xml:space="preserve"> ISSN (online):</w:t>
    </w:r>
    <w:r w:rsidR="00473614">
      <w:rPr>
        <w:color w:val="000000"/>
        <w:sz w:val="22"/>
        <w:szCs w:val="22"/>
      </w:rPr>
      <w:t xml:space="preserve"> </w:t>
    </w:r>
    <w:r w:rsidR="00473614" w:rsidRPr="0024573A">
      <w:rPr>
        <w:rFonts w:asciiTheme="majorBidi" w:eastAsiaTheme="minorHAnsi" w:hAnsiTheme="majorBidi" w:cstheme="majorBidi"/>
        <w:sz w:val="22"/>
        <w:szCs w:val="22"/>
      </w:rPr>
      <w:t>3123-7347</w:t>
    </w:r>
  </w:p>
  <w:p w14:paraId="59A58471" w14:textId="77777777" w:rsidR="005A4FC0" w:rsidRDefault="005A4FC0">
    <w:pPr>
      <w:pBdr>
        <w:top w:val="nil"/>
        <w:left w:val="nil"/>
        <w:bottom w:val="single" w:sz="4" w:space="1" w:color="000000"/>
        <w:right w:val="nil"/>
        <w:between w:val="nil"/>
      </w:pBdr>
      <w:tabs>
        <w:tab w:val="center" w:pos="4513"/>
        <w:tab w:val="right" w:pos="9026"/>
        <w:tab w:val="center" w:pos="4680"/>
        <w:tab w:val="right" w:pos="9639"/>
      </w:tabs>
      <w:rPr>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613B57"/>
    <w:multiLevelType w:val="multilevel"/>
    <w:tmpl w:val="710EC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embedTrueTypeFonts/>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FC0"/>
    <w:rsid w:val="000148A1"/>
    <w:rsid w:val="000D76A1"/>
    <w:rsid w:val="001142C0"/>
    <w:rsid w:val="00143C60"/>
    <w:rsid w:val="001B201F"/>
    <w:rsid w:val="002C3C2E"/>
    <w:rsid w:val="00380FE9"/>
    <w:rsid w:val="00430EED"/>
    <w:rsid w:val="00445A49"/>
    <w:rsid w:val="00473614"/>
    <w:rsid w:val="005A2091"/>
    <w:rsid w:val="005A4FC0"/>
    <w:rsid w:val="00600868"/>
    <w:rsid w:val="006A13CE"/>
    <w:rsid w:val="006A16BB"/>
    <w:rsid w:val="0076446A"/>
    <w:rsid w:val="00850159"/>
    <w:rsid w:val="0088435E"/>
    <w:rsid w:val="008B0016"/>
    <w:rsid w:val="008B349A"/>
    <w:rsid w:val="00910227"/>
    <w:rsid w:val="00921E48"/>
    <w:rsid w:val="00AA5D36"/>
    <w:rsid w:val="00AB6D24"/>
    <w:rsid w:val="00AD10D7"/>
    <w:rsid w:val="00AD5CB1"/>
    <w:rsid w:val="00B32942"/>
    <w:rsid w:val="00C76877"/>
    <w:rsid w:val="00CC4694"/>
    <w:rsid w:val="00DD792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51CE1"/>
  <w15:docId w15:val="{BFA200BC-0045-4BFC-BBCF-C26FC1CF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 w:eastAsia="en-ID"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160" w:after="80"/>
      <w:ind w:firstLine="216"/>
      <w:outlineLvl w:val="0"/>
    </w:pPr>
    <w:rPr>
      <w:smallCaps/>
    </w:rPr>
  </w:style>
  <w:style w:type="paragraph" w:styleId="Heading2">
    <w:name w:val="heading 2"/>
    <w:basedOn w:val="Normal"/>
    <w:next w:val="Normal"/>
    <w:uiPriority w:val="9"/>
    <w:semiHidden/>
    <w:unhideWhenUsed/>
    <w:qFormat/>
    <w:pPr>
      <w:keepNext/>
      <w:keepLines/>
      <w:spacing w:before="120" w:after="60"/>
      <w:ind w:left="288" w:hanging="288"/>
      <w:jc w:val="left"/>
      <w:outlineLvl w:val="1"/>
    </w:pPr>
    <w:rPr>
      <w:i/>
      <w:iCs/>
    </w:rPr>
  </w:style>
  <w:style w:type="paragraph" w:styleId="Heading3">
    <w:name w:val="heading 3"/>
    <w:basedOn w:val="Normal"/>
    <w:next w:val="Normal"/>
    <w:uiPriority w:val="9"/>
    <w:semiHidden/>
    <w:unhideWhenUsed/>
    <w:qFormat/>
    <w:pPr>
      <w:ind w:firstLine="180"/>
      <w:jc w:val="both"/>
      <w:outlineLvl w:val="2"/>
    </w:pPr>
    <w:rPr>
      <w:i/>
      <w:iCs/>
    </w:rPr>
  </w:style>
  <w:style w:type="paragraph" w:styleId="Heading4">
    <w:name w:val="heading 4"/>
    <w:basedOn w:val="Normal"/>
    <w:next w:val="Normal"/>
    <w:uiPriority w:val="9"/>
    <w:semiHidden/>
    <w:unhideWhenUsed/>
    <w:qFormat/>
    <w:pPr>
      <w:spacing w:before="40" w:after="40"/>
      <w:ind w:firstLine="360"/>
      <w:jc w:val="both"/>
      <w:outlineLvl w:val="3"/>
    </w:pPr>
    <w:rPr>
      <w:i/>
      <w:iCs/>
    </w:rPr>
  </w:style>
  <w:style w:type="paragraph" w:styleId="Heading5">
    <w:name w:val="heading 5"/>
    <w:basedOn w:val="Normal"/>
    <w:next w:val="Normal"/>
    <w:uiPriority w:val="9"/>
    <w:semiHidden/>
    <w:unhideWhenUsed/>
    <w:qFormat/>
    <w:pPr>
      <w:tabs>
        <w:tab w:val="left" w:pos="360"/>
      </w:tabs>
      <w:spacing w:before="160" w:after="80"/>
      <w:outlineLvl w:val="4"/>
    </w:pPr>
    <w:rPr>
      <w:smallCap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Arial" w:eastAsia="Arial" w:hAnsi="Arial" w:cs="Arial"/>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88435E"/>
    <w:rPr>
      <w:color w:val="0000FF" w:themeColor="hyperlink"/>
      <w:u w:val="single"/>
    </w:rPr>
  </w:style>
  <w:style w:type="character" w:customStyle="1" w:styleId="UnresolvedMention">
    <w:name w:val="Unresolved Mention"/>
    <w:basedOn w:val="DefaultParagraphFont"/>
    <w:uiPriority w:val="99"/>
    <w:semiHidden/>
    <w:unhideWhenUsed/>
    <w:rsid w:val="0088435E"/>
    <w:rPr>
      <w:color w:val="605E5C"/>
      <w:shd w:val="clear" w:color="auto" w:fill="E1DFDD"/>
    </w:rPr>
  </w:style>
  <w:style w:type="character" w:styleId="FollowedHyperlink">
    <w:name w:val="FollowedHyperlink"/>
    <w:basedOn w:val="DefaultParagraphFont"/>
    <w:uiPriority w:val="99"/>
    <w:semiHidden/>
    <w:unhideWhenUsed/>
    <w:rsid w:val="0088435E"/>
    <w:rPr>
      <w:color w:val="800080" w:themeColor="followedHyperlink"/>
      <w:u w:val="single"/>
    </w:rPr>
  </w:style>
  <w:style w:type="paragraph" w:styleId="Header">
    <w:name w:val="header"/>
    <w:basedOn w:val="Normal"/>
    <w:link w:val="HeaderChar"/>
    <w:uiPriority w:val="99"/>
    <w:unhideWhenUsed/>
    <w:rsid w:val="00380FE9"/>
    <w:pPr>
      <w:tabs>
        <w:tab w:val="center" w:pos="4680"/>
        <w:tab w:val="right" w:pos="9360"/>
      </w:tabs>
    </w:pPr>
  </w:style>
  <w:style w:type="character" w:customStyle="1" w:styleId="HeaderChar">
    <w:name w:val="Header Char"/>
    <w:basedOn w:val="DefaultParagraphFont"/>
    <w:link w:val="Header"/>
    <w:uiPriority w:val="99"/>
    <w:rsid w:val="00380FE9"/>
  </w:style>
  <w:style w:type="paragraph" w:styleId="Footer">
    <w:name w:val="footer"/>
    <w:basedOn w:val="Normal"/>
    <w:link w:val="FooterChar"/>
    <w:uiPriority w:val="99"/>
    <w:unhideWhenUsed/>
    <w:rsid w:val="00380FE9"/>
    <w:pPr>
      <w:tabs>
        <w:tab w:val="center" w:pos="4680"/>
        <w:tab w:val="right" w:pos="9360"/>
      </w:tabs>
    </w:pPr>
  </w:style>
  <w:style w:type="character" w:customStyle="1" w:styleId="FooterChar">
    <w:name w:val="Footer Char"/>
    <w:basedOn w:val="DefaultParagraphFont"/>
    <w:link w:val="Footer"/>
    <w:uiPriority w:val="99"/>
    <w:rsid w:val="00380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mailto:nsoviha@gmail.com" TargetMode="External"/><Relationship Id="rId18" Type="http://schemas.openxmlformats.org/officeDocument/2006/relationships/hyperlink" Target="mailto:amandasalsabila206@gmail.com" TargetMode="Externa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oter" Target="footer1.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mailto:nsoviha@gmail.com" TargetMode="External"/><Relationship Id="rId17" Type="http://schemas.openxmlformats.org/officeDocument/2006/relationships/hyperlink" Target="mailto:24041124118@uniga.ac.id" TargetMode="External"/><Relationship Id="rId25" Type="http://schemas.openxmlformats.org/officeDocument/2006/relationships/footer" Target="footer4.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mailto:syadiah064@gmail.com" TargetMode="External"/><Relationship Id="rId20" Type="http://schemas.openxmlformats.org/officeDocument/2006/relationships/header" Target="header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yfaaghni@gmail.com" TargetMode="External"/><Relationship Id="rId24" Type="http://schemas.openxmlformats.org/officeDocument/2006/relationships/image" Target="media/image2.png"/><Relationship Id="rId32" Type="http://schemas.openxmlformats.org/officeDocument/2006/relationships/image" Target="media/image7.jpg"/><Relationship Id="rId5" Type="http://schemas.openxmlformats.org/officeDocument/2006/relationships/settings" Target="settings.xml"/><Relationship Id="rId15" Type="http://schemas.openxmlformats.org/officeDocument/2006/relationships/hyperlink" Target="mailto:silmiaulia455@gmail.com" TargetMode="Externa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hyperlink" Target="mailto:syfaaghni@gmail.com" TargetMode="External"/><Relationship Id="rId19" Type="http://schemas.openxmlformats.org/officeDocument/2006/relationships/header" Target="header1.xml"/><Relationship Id="rId31" Type="http://schemas.openxmlformats.org/officeDocument/2006/relationships/image" Target="media/image6.jpg"/><Relationship Id="rId4" Type="http://schemas.openxmlformats.org/officeDocument/2006/relationships/styles" Target="styles.xml"/><Relationship Id="rId9" Type="http://schemas.openxmlformats.org/officeDocument/2006/relationships/hyperlink" Target="mailto:amandasalsabila206@gmail.com" TargetMode="External"/><Relationship Id="rId14" Type="http://schemas.openxmlformats.org/officeDocument/2006/relationships/hyperlink" Target="mailto:nyshifa227@gmail.com" TargetMode="External"/><Relationship Id="rId22" Type="http://schemas.openxmlformats.org/officeDocument/2006/relationships/footer" Target="footer2.xml"/><Relationship Id="rId27" Type="http://schemas.openxmlformats.org/officeDocument/2006/relationships/image" Target="media/image4.png"/><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hyperlink" Target="https://journal.uniga.ac.id/index.php/NURAGA/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FaRQZVb+IEXgRKBX4HBHmAO5gA==">CgMxLjA4AHIhMUo3QW5Mc29JcTBPR1FzdDhHcWQ1VjNyX1Y0ZjVLdDEy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E8638C-B238-42EC-8386-FD77C85A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8</Pages>
  <Words>6096</Words>
  <Characters>34748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Editor NURAGA</cp:lastModifiedBy>
  <cp:revision>8</cp:revision>
  <cp:lastPrinted>2026-04-24T02:01:00Z</cp:lastPrinted>
  <dcterms:created xsi:type="dcterms:W3CDTF">2026-04-21T00:51:00Z</dcterms:created>
  <dcterms:modified xsi:type="dcterms:W3CDTF">2026-04-24T02:01:00Z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e62b8f31-4cd5-361e-a10e-11b5ec0377ac</vt:lpwstr>
  </property>
  <property fmtid="{D5CDD505-2E9C-101B-9397-08002B2CF9AE}" pid="24" name="Mendeley Citation Style_1">
    <vt:lpwstr>http://www.zotero.org/styles/apa</vt:lpwstr>
  </property>
</Properties>
</file>