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18590E" w14:textId="2DA8D6F7" w:rsidR="005A4FC0" w:rsidRPr="001142C0" w:rsidRDefault="00C76877">
      <w:pPr>
        <w:pBdr>
          <w:top w:val="nil"/>
          <w:left w:val="nil"/>
          <w:bottom w:val="nil"/>
          <w:right w:val="nil"/>
          <w:between w:val="nil"/>
        </w:pBdr>
        <w:rPr>
          <w:rFonts w:ascii="Arial Nova" w:eastAsia="Arial" w:hAnsi="Arial Nova" w:cs="Arial"/>
          <w:b/>
          <w:bCs/>
          <w:color w:val="000000"/>
          <w:sz w:val="28"/>
          <w:szCs w:val="28"/>
        </w:rPr>
      </w:pPr>
      <w:r w:rsidRPr="001142C0">
        <w:rPr>
          <w:rFonts w:ascii="Arial Nova" w:eastAsia="Arial" w:hAnsi="Arial Nova" w:cs="Arial"/>
          <w:b/>
          <w:bCs/>
          <w:color w:val="000000"/>
          <w:sz w:val="28"/>
          <w:szCs w:val="28"/>
        </w:rPr>
        <w:t xml:space="preserve">Penyuluhan Peningkatan Kesadaran Warga Kampung Cijugul </w:t>
      </w:r>
      <w:r w:rsidR="008B0016" w:rsidRPr="001142C0">
        <w:rPr>
          <w:rFonts w:ascii="Arial Nova" w:eastAsia="Arial" w:hAnsi="Arial Nova" w:cs="Arial"/>
          <w:b/>
          <w:bCs/>
          <w:color w:val="000000"/>
          <w:sz w:val="28"/>
          <w:szCs w:val="28"/>
        </w:rPr>
        <w:t>d</w:t>
      </w:r>
      <w:r w:rsidRPr="001142C0">
        <w:rPr>
          <w:rFonts w:ascii="Arial Nova" w:eastAsia="Arial" w:hAnsi="Arial Nova" w:cs="Arial"/>
          <w:b/>
          <w:bCs/>
          <w:color w:val="000000"/>
          <w:sz w:val="28"/>
          <w:szCs w:val="28"/>
        </w:rPr>
        <w:t>alam Pemilihan Obat Halal</w:t>
      </w:r>
    </w:p>
    <w:p w14:paraId="131D74BC" w14:textId="77777777" w:rsidR="005A4FC0" w:rsidRPr="001142C0" w:rsidRDefault="005A4FC0">
      <w:pPr>
        <w:pBdr>
          <w:top w:val="nil"/>
          <w:left w:val="nil"/>
          <w:bottom w:val="nil"/>
          <w:right w:val="nil"/>
          <w:between w:val="nil"/>
        </w:pBdr>
        <w:rPr>
          <w:rFonts w:ascii="Arial Nova" w:eastAsia="Arial" w:hAnsi="Arial Nova" w:cs="Arial"/>
          <w:b/>
          <w:bCs/>
          <w:color w:val="000000"/>
          <w:sz w:val="22"/>
          <w:szCs w:val="22"/>
        </w:rPr>
      </w:pPr>
    </w:p>
    <w:p w14:paraId="6C141381" w14:textId="52C4C6CB" w:rsidR="005A4FC0" w:rsidRPr="001142C0" w:rsidRDefault="00C76877">
      <w:pPr>
        <w:pBdr>
          <w:top w:val="nil"/>
          <w:left w:val="nil"/>
          <w:bottom w:val="nil"/>
          <w:right w:val="nil"/>
          <w:between w:val="nil"/>
        </w:pBdr>
        <w:rPr>
          <w:rFonts w:ascii="Arial Nova" w:eastAsia="Arial" w:hAnsi="Arial Nova" w:cs="Arial"/>
          <w:b/>
          <w:bCs/>
          <w:color w:val="EE0000"/>
          <w:sz w:val="24"/>
          <w:szCs w:val="24"/>
        </w:rPr>
      </w:pPr>
      <w:r w:rsidRPr="001142C0">
        <w:rPr>
          <w:rFonts w:ascii="Arial Nova" w:eastAsia="Arial" w:hAnsi="Arial Nova" w:cs="Arial"/>
          <w:b/>
          <w:bCs/>
          <w:color w:val="000000"/>
          <w:sz w:val="24"/>
          <w:szCs w:val="24"/>
        </w:rPr>
        <w:t>Amanda Salsabila</w:t>
      </w:r>
      <w:r w:rsidR="00910227">
        <w:rPr>
          <w:rFonts w:ascii="Arial Nova" w:eastAsia="Arial" w:hAnsi="Arial Nova" w:cs="Arial"/>
          <w:b/>
          <w:bCs/>
          <w:color w:val="000000"/>
          <w:sz w:val="24"/>
          <w:szCs w:val="24"/>
        </w:rPr>
        <w:t>*</w:t>
      </w:r>
      <w:r w:rsidRPr="001142C0">
        <w:rPr>
          <w:rFonts w:ascii="Arial Nova" w:eastAsia="Arial" w:hAnsi="Arial Nova" w:cs="Arial"/>
          <w:b/>
          <w:bCs/>
          <w:color w:val="000000"/>
          <w:sz w:val="24"/>
          <w:szCs w:val="24"/>
        </w:rPr>
        <w:t xml:space="preserve">, Aghni Syifa Sholihah, Neng Sovi Hanifah, Shifa Nurmayanti, Silmi Hikmatun Aulia, Siti Halimah Sya'diyah, Ulfani Rofiul Azizah </w:t>
      </w:r>
    </w:p>
    <w:p w14:paraId="593D3971" w14:textId="77777777" w:rsidR="005A4FC0" w:rsidRPr="001142C0" w:rsidRDefault="005A4FC0">
      <w:pPr>
        <w:pBdr>
          <w:top w:val="nil"/>
          <w:left w:val="nil"/>
          <w:bottom w:val="nil"/>
          <w:right w:val="nil"/>
          <w:between w:val="nil"/>
        </w:pBdr>
        <w:rPr>
          <w:rFonts w:ascii="Arial Nova" w:eastAsia="Arial" w:hAnsi="Arial Nova" w:cs="Arial"/>
          <w:color w:val="EE0000"/>
          <w:sz w:val="24"/>
          <w:szCs w:val="24"/>
        </w:rPr>
      </w:pPr>
    </w:p>
    <w:p w14:paraId="00D5F0B2" w14:textId="77777777" w:rsidR="001142C0" w:rsidRPr="001142C0" w:rsidRDefault="001142C0" w:rsidP="001142C0">
      <w:pPr>
        <w:pBdr>
          <w:top w:val="nil"/>
          <w:left w:val="nil"/>
          <w:bottom w:val="nil"/>
          <w:right w:val="nil"/>
          <w:between w:val="nil"/>
        </w:pBdr>
        <w:rPr>
          <w:rFonts w:ascii="Arial Nova" w:eastAsia="Arial" w:hAnsi="Arial Nova" w:cs="Arial"/>
          <w:color w:val="000000"/>
          <w:sz w:val="24"/>
          <w:szCs w:val="24"/>
        </w:rPr>
      </w:pPr>
      <w:r w:rsidRPr="001142C0">
        <w:rPr>
          <w:rFonts w:ascii="Arial Nova" w:eastAsia="Arial" w:hAnsi="Arial Nova" w:cs="Arial"/>
          <w:color w:val="000000"/>
          <w:sz w:val="24"/>
          <w:szCs w:val="24"/>
        </w:rPr>
        <w:t xml:space="preserve">Program Studi Farmasi, Fakultas Matematika dan Ilmu Pengetahuan Alam, </w:t>
      </w:r>
    </w:p>
    <w:p w14:paraId="2E4FC90D" w14:textId="2A7F978F" w:rsidR="005A4FC0" w:rsidRPr="001142C0" w:rsidRDefault="001142C0" w:rsidP="001142C0">
      <w:pPr>
        <w:pBdr>
          <w:top w:val="nil"/>
          <w:left w:val="nil"/>
          <w:bottom w:val="nil"/>
          <w:right w:val="nil"/>
          <w:between w:val="nil"/>
        </w:pBdr>
        <w:spacing w:after="240"/>
        <w:rPr>
          <w:rFonts w:ascii="Arial Nova" w:eastAsia="Arial" w:hAnsi="Arial Nova" w:cs="Arial"/>
          <w:color w:val="000000"/>
          <w:sz w:val="24"/>
          <w:szCs w:val="24"/>
        </w:rPr>
      </w:pPr>
      <w:r w:rsidRPr="001142C0">
        <w:rPr>
          <w:rFonts w:ascii="Arial Nova" w:eastAsia="Arial" w:hAnsi="Arial Nova" w:cs="Arial"/>
          <w:color w:val="000000"/>
          <w:sz w:val="24"/>
          <w:szCs w:val="24"/>
        </w:rPr>
        <w:t>Universitas Garut, Jl. Prof. Aam Hamdani No. 42B, Kecamatan Tarogong Kaler, Kabupaten Garut, Jawa Barat, 4415, Indonesia.</w:t>
      </w:r>
    </w:p>
    <w:p w14:paraId="45E0B8D6" w14:textId="77777777" w:rsidR="005A4FC0" w:rsidRPr="001142C0" w:rsidRDefault="00430EED">
      <w:pPr>
        <w:pBdr>
          <w:top w:val="nil"/>
          <w:left w:val="nil"/>
          <w:bottom w:val="nil"/>
          <w:right w:val="nil"/>
          <w:between w:val="nil"/>
        </w:pBdr>
        <w:rPr>
          <w:rFonts w:ascii="Arial Nova" w:eastAsia="Arial" w:hAnsi="Arial Nova" w:cs="Arial"/>
          <w:color w:val="000000"/>
          <w:sz w:val="24"/>
          <w:szCs w:val="24"/>
        </w:rPr>
      </w:pPr>
      <w:hyperlink r:id="rId9">
        <w:r w:rsidR="005A4FC0" w:rsidRPr="001142C0">
          <w:rPr>
            <w:rFonts w:ascii="Arial Nova" w:eastAsia="Arial" w:hAnsi="Arial Nova" w:cs="Arial"/>
            <w:color w:val="0000FF"/>
            <w:sz w:val="24"/>
            <w:szCs w:val="24"/>
          </w:rPr>
          <w:t>amandasalsabila206@gmail.com</w:t>
        </w:r>
      </w:hyperlink>
      <w:r w:rsidR="005A4FC0" w:rsidRPr="001142C0">
        <w:rPr>
          <w:rFonts w:ascii="Arial Nova" w:eastAsia="Arial" w:hAnsi="Arial Nova" w:cs="Arial"/>
          <w:color w:val="000000"/>
          <w:sz w:val="24"/>
          <w:szCs w:val="24"/>
        </w:rPr>
        <w:t>,</w:t>
      </w:r>
      <w:r w:rsidR="005A4FC0" w:rsidRPr="001142C0">
        <w:rPr>
          <w:rFonts w:ascii="Arial Nova" w:eastAsia="Arial" w:hAnsi="Arial Nova" w:cs="Arial"/>
          <w:color w:val="000000"/>
          <w:sz w:val="22"/>
          <w:szCs w:val="22"/>
        </w:rPr>
        <w:t xml:space="preserve"> </w:t>
      </w:r>
      <w:hyperlink r:id="rId10">
        <w:r w:rsidR="005A4FC0" w:rsidRPr="001142C0">
          <w:rPr>
            <w:rFonts w:ascii="Arial Nova" w:eastAsia="Arial" w:hAnsi="Arial Nova" w:cs="Arial"/>
            <w:color w:val="0000FF"/>
            <w:sz w:val="24"/>
            <w:szCs w:val="24"/>
          </w:rPr>
          <w:t>syfaaghni</w:t>
        </w:r>
      </w:hyperlink>
      <w:hyperlink r:id="rId11">
        <w:r w:rsidR="005A4FC0" w:rsidRPr="001142C0">
          <w:rPr>
            <w:rFonts w:ascii="Arial Nova" w:eastAsia="Arial" w:hAnsi="Arial Nova" w:cs="Arial"/>
            <w:color w:val="0000FF"/>
            <w:sz w:val="24"/>
            <w:szCs w:val="24"/>
          </w:rPr>
          <w:t>@gmail.com</w:t>
        </w:r>
      </w:hyperlink>
      <w:r w:rsidR="005A4FC0" w:rsidRPr="001142C0">
        <w:rPr>
          <w:rFonts w:ascii="Arial Nova" w:eastAsia="Arial" w:hAnsi="Arial Nova" w:cs="Arial"/>
          <w:color w:val="000000"/>
          <w:sz w:val="24"/>
          <w:szCs w:val="24"/>
        </w:rPr>
        <w:t xml:space="preserve">,  </w:t>
      </w:r>
      <w:hyperlink r:id="rId12">
        <w:r w:rsidR="005A4FC0" w:rsidRPr="001142C0">
          <w:rPr>
            <w:rFonts w:ascii="Arial Nova" w:eastAsia="Arial" w:hAnsi="Arial Nova" w:cs="Arial"/>
            <w:color w:val="0000FF"/>
            <w:sz w:val="24"/>
            <w:szCs w:val="24"/>
          </w:rPr>
          <w:t>nsoviha</w:t>
        </w:r>
      </w:hyperlink>
      <w:hyperlink r:id="rId13">
        <w:r w:rsidR="005A4FC0" w:rsidRPr="001142C0">
          <w:rPr>
            <w:rFonts w:ascii="Arial Nova" w:eastAsia="Arial" w:hAnsi="Arial Nova" w:cs="Arial"/>
            <w:color w:val="0000FF"/>
            <w:sz w:val="24"/>
            <w:szCs w:val="24"/>
          </w:rPr>
          <w:t>@gmail.com</w:t>
        </w:r>
      </w:hyperlink>
      <w:r w:rsidR="005A4FC0" w:rsidRPr="001142C0">
        <w:rPr>
          <w:rFonts w:ascii="Arial Nova" w:eastAsia="Arial" w:hAnsi="Arial Nova" w:cs="Arial"/>
          <w:color w:val="000000"/>
          <w:sz w:val="24"/>
          <w:szCs w:val="24"/>
        </w:rPr>
        <w:t xml:space="preserve">, </w:t>
      </w:r>
      <w:hyperlink r:id="rId14">
        <w:r w:rsidR="005A4FC0" w:rsidRPr="001142C0">
          <w:rPr>
            <w:rFonts w:ascii="Arial Nova" w:eastAsia="Arial" w:hAnsi="Arial Nova" w:cs="Arial"/>
            <w:color w:val="0000FF"/>
            <w:sz w:val="24"/>
            <w:szCs w:val="24"/>
          </w:rPr>
          <w:t>nyshifa227@gmail.com</w:t>
        </w:r>
      </w:hyperlink>
      <w:r w:rsidR="005A4FC0" w:rsidRPr="001142C0">
        <w:rPr>
          <w:rFonts w:ascii="Arial Nova" w:eastAsia="Arial" w:hAnsi="Arial Nova" w:cs="Arial"/>
          <w:color w:val="000000"/>
          <w:sz w:val="24"/>
          <w:szCs w:val="24"/>
        </w:rPr>
        <w:t xml:space="preserve">, </w:t>
      </w:r>
      <w:hyperlink r:id="rId15">
        <w:r w:rsidR="005A4FC0" w:rsidRPr="001142C0">
          <w:rPr>
            <w:rFonts w:ascii="Arial Nova" w:eastAsia="Arial" w:hAnsi="Arial Nova" w:cs="Arial"/>
            <w:color w:val="0000FF"/>
            <w:sz w:val="24"/>
            <w:szCs w:val="24"/>
          </w:rPr>
          <w:t>silmiaulia455@gmail.com</w:t>
        </w:r>
      </w:hyperlink>
      <w:r w:rsidR="005A4FC0" w:rsidRPr="001142C0">
        <w:rPr>
          <w:rFonts w:ascii="Arial Nova" w:eastAsia="Arial" w:hAnsi="Arial Nova" w:cs="Arial"/>
          <w:color w:val="000000"/>
          <w:sz w:val="24"/>
          <w:szCs w:val="24"/>
        </w:rPr>
        <w:t xml:space="preserve">, </w:t>
      </w:r>
      <w:hyperlink r:id="rId16">
        <w:r w:rsidR="005A4FC0" w:rsidRPr="001142C0">
          <w:rPr>
            <w:rFonts w:ascii="Arial Nova" w:eastAsia="Arial" w:hAnsi="Arial Nova" w:cs="Arial"/>
            <w:color w:val="0000FF"/>
            <w:sz w:val="24"/>
            <w:szCs w:val="24"/>
          </w:rPr>
          <w:t>syadiah064@gmail.com</w:t>
        </w:r>
      </w:hyperlink>
      <w:r w:rsidR="005A4FC0" w:rsidRPr="001142C0">
        <w:rPr>
          <w:rFonts w:ascii="Arial Nova" w:eastAsia="Arial" w:hAnsi="Arial Nova" w:cs="Arial"/>
          <w:color w:val="000000"/>
          <w:sz w:val="24"/>
          <w:szCs w:val="24"/>
        </w:rPr>
        <w:t xml:space="preserve">, </w:t>
      </w:r>
      <w:hyperlink r:id="rId17">
        <w:r w:rsidR="005A4FC0" w:rsidRPr="001142C0">
          <w:rPr>
            <w:rFonts w:ascii="Arial Nova" w:eastAsia="Arial" w:hAnsi="Arial Nova" w:cs="Arial"/>
            <w:color w:val="0000FF"/>
            <w:sz w:val="24"/>
            <w:szCs w:val="24"/>
          </w:rPr>
          <w:t>24041124118@uniga.ac.id</w:t>
        </w:r>
      </w:hyperlink>
      <w:r w:rsidR="005A4FC0" w:rsidRPr="001142C0">
        <w:rPr>
          <w:rFonts w:ascii="Arial Nova" w:eastAsia="Arial" w:hAnsi="Arial Nova" w:cs="Arial"/>
          <w:color w:val="000000"/>
          <w:sz w:val="24"/>
          <w:szCs w:val="24"/>
        </w:rPr>
        <w:t xml:space="preserve"> </w:t>
      </w:r>
    </w:p>
    <w:p w14:paraId="591FBDA9" w14:textId="77777777" w:rsidR="005A4FC0" w:rsidRPr="001142C0" w:rsidRDefault="005A4FC0">
      <w:pPr>
        <w:pBdr>
          <w:top w:val="nil"/>
          <w:left w:val="nil"/>
          <w:bottom w:val="nil"/>
          <w:right w:val="nil"/>
          <w:between w:val="nil"/>
        </w:pBdr>
        <w:rPr>
          <w:rFonts w:ascii="Arial Nova" w:eastAsia="Arial" w:hAnsi="Arial Nova" w:cs="Arial"/>
          <w:color w:val="000000"/>
          <w:sz w:val="24"/>
          <w:szCs w:val="24"/>
        </w:rPr>
      </w:pPr>
    </w:p>
    <w:p w14:paraId="31BBE705" w14:textId="5A1E2D82" w:rsidR="005A4FC0" w:rsidRPr="001142C0" w:rsidRDefault="001142C0">
      <w:pPr>
        <w:pBdr>
          <w:top w:val="nil"/>
          <w:left w:val="nil"/>
          <w:bottom w:val="nil"/>
          <w:right w:val="nil"/>
          <w:between w:val="nil"/>
        </w:pBdr>
        <w:rPr>
          <w:rFonts w:ascii="Arial Nova" w:eastAsia="Arial" w:hAnsi="Arial Nova" w:cs="Arial"/>
          <w:b/>
          <w:bCs/>
          <w:color w:val="000000"/>
          <w:sz w:val="24"/>
          <w:szCs w:val="24"/>
        </w:rPr>
      </w:pPr>
      <w:r w:rsidRPr="00910227">
        <w:rPr>
          <w:rFonts w:ascii="Arial Nova" w:eastAsia="Arial" w:hAnsi="Arial Nova" w:cs="Arial"/>
          <w:b/>
          <w:bCs/>
          <w:i/>
          <w:color w:val="000000"/>
          <w:sz w:val="24"/>
          <w:szCs w:val="24"/>
        </w:rPr>
        <w:t>*</w:t>
      </w:r>
      <w:r w:rsidR="00C76877" w:rsidRPr="00910227">
        <w:rPr>
          <w:rFonts w:ascii="Arial Nova" w:eastAsia="Arial" w:hAnsi="Arial Nova" w:cs="Arial"/>
          <w:b/>
          <w:bCs/>
          <w:i/>
          <w:color w:val="000000"/>
          <w:sz w:val="24"/>
          <w:szCs w:val="24"/>
        </w:rPr>
        <w:t>Corresponding Author</w:t>
      </w:r>
      <w:r w:rsidR="00C76877" w:rsidRPr="001142C0">
        <w:rPr>
          <w:rFonts w:ascii="Arial Nova" w:eastAsia="Arial" w:hAnsi="Arial Nova" w:cs="Arial"/>
          <w:b/>
          <w:bCs/>
          <w:color w:val="000000"/>
          <w:sz w:val="24"/>
          <w:szCs w:val="24"/>
        </w:rPr>
        <w:t>:</w:t>
      </w:r>
      <w:r w:rsidR="00910227">
        <w:rPr>
          <w:rFonts w:ascii="Arial Nova" w:eastAsia="Arial" w:hAnsi="Arial Nova" w:cs="Arial"/>
          <w:b/>
          <w:bCs/>
          <w:color w:val="000000"/>
          <w:sz w:val="24"/>
          <w:szCs w:val="24"/>
        </w:rPr>
        <w:t xml:space="preserve"> </w:t>
      </w:r>
      <w:r w:rsidR="00910227" w:rsidRPr="00910227">
        <w:rPr>
          <w:rFonts w:ascii="Arial Nova" w:eastAsia="Arial" w:hAnsi="Arial Nova" w:cs="Arial"/>
          <w:bCs/>
          <w:color w:val="000000"/>
          <w:sz w:val="24"/>
          <w:szCs w:val="24"/>
        </w:rPr>
        <w:t>Amanda Salsabila</w:t>
      </w:r>
      <w:r w:rsidR="00C76877" w:rsidRPr="001142C0">
        <w:rPr>
          <w:rFonts w:ascii="Arial Nova" w:eastAsia="Arial" w:hAnsi="Arial Nova" w:cs="Arial"/>
          <w:color w:val="000000"/>
          <w:sz w:val="24"/>
          <w:szCs w:val="24"/>
        </w:rPr>
        <w:t xml:space="preserve"> </w:t>
      </w:r>
      <w:r w:rsidR="00910227">
        <w:rPr>
          <w:rFonts w:ascii="Arial Nova" w:hAnsi="Arial Nova"/>
        </w:rPr>
        <w:t>(</w:t>
      </w:r>
      <w:hyperlink r:id="rId18">
        <w:r w:rsidR="005A4FC0" w:rsidRPr="001142C0">
          <w:rPr>
            <w:rFonts w:ascii="Arial Nova" w:eastAsia="Arial" w:hAnsi="Arial Nova" w:cs="Arial"/>
            <w:color w:val="0000FF"/>
            <w:sz w:val="24"/>
            <w:szCs w:val="24"/>
          </w:rPr>
          <w:t>amandasalsabila206@gmail.com</w:t>
        </w:r>
      </w:hyperlink>
      <w:r w:rsidR="00910227" w:rsidRPr="00910227">
        <w:rPr>
          <w:rFonts w:ascii="Arial Nova" w:eastAsia="Arial" w:hAnsi="Arial Nova" w:cs="Arial"/>
          <w:sz w:val="24"/>
          <w:szCs w:val="24"/>
        </w:rPr>
        <w:t>)</w:t>
      </w:r>
    </w:p>
    <w:p w14:paraId="109A7081" w14:textId="77777777" w:rsidR="005A4FC0" w:rsidRPr="001142C0" w:rsidRDefault="005A4FC0">
      <w:pPr>
        <w:pBdr>
          <w:top w:val="nil"/>
          <w:left w:val="nil"/>
          <w:bottom w:val="nil"/>
          <w:right w:val="nil"/>
          <w:between w:val="nil"/>
        </w:pBdr>
        <w:rPr>
          <w:rFonts w:ascii="Arial Nova" w:eastAsia="Arial" w:hAnsi="Arial Nova" w:cs="Arial"/>
          <w:b/>
          <w:bCs/>
          <w:color w:val="000000"/>
          <w:sz w:val="22"/>
          <w:szCs w:val="22"/>
        </w:rPr>
      </w:pPr>
    </w:p>
    <w:tbl>
      <w:tblPr>
        <w:tblStyle w:val="a"/>
        <w:tblW w:w="939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417"/>
        <w:gridCol w:w="5919"/>
      </w:tblGrid>
      <w:tr w:rsidR="005A4FC0" w:rsidRPr="001142C0" w14:paraId="0BD7E599" w14:textId="77777777">
        <w:tc>
          <w:tcPr>
            <w:tcW w:w="3055" w:type="dxa"/>
            <w:tcBorders>
              <w:top w:val="single" w:sz="4" w:space="0" w:color="000000"/>
              <w:left w:val="nil"/>
              <w:bottom w:val="single" w:sz="4" w:space="0" w:color="000000"/>
              <w:right w:val="nil"/>
            </w:tcBorders>
          </w:tcPr>
          <w:p w14:paraId="0FDAB57F" w14:textId="77777777" w:rsidR="005A4FC0" w:rsidRPr="001142C0" w:rsidRDefault="00C76877">
            <w:pPr>
              <w:spacing w:before="120" w:after="120"/>
              <w:rPr>
                <w:rFonts w:ascii="Arial Nova" w:eastAsia="Arial" w:hAnsi="Arial Nova" w:cs="Arial"/>
                <w:b/>
                <w:bCs/>
                <w:sz w:val="24"/>
                <w:szCs w:val="24"/>
              </w:rPr>
            </w:pPr>
            <w:r w:rsidRPr="001142C0">
              <w:rPr>
                <w:rFonts w:ascii="Arial Nova" w:eastAsia="Arial" w:hAnsi="Arial Nova" w:cs="Arial"/>
                <w:b/>
                <w:bCs/>
                <w:sz w:val="24"/>
                <w:szCs w:val="24"/>
              </w:rPr>
              <w:t>INFO ARTIKEL</w:t>
            </w:r>
          </w:p>
        </w:tc>
        <w:tc>
          <w:tcPr>
            <w:tcW w:w="417" w:type="dxa"/>
            <w:tcBorders>
              <w:top w:val="single" w:sz="4" w:space="0" w:color="000000"/>
              <w:left w:val="nil"/>
              <w:bottom w:val="nil"/>
              <w:right w:val="nil"/>
            </w:tcBorders>
          </w:tcPr>
          <w:p w14:paraId="54717831" w14:textId="77777777" w:rsidR="005A4FC0" w:rsidRPr="001142C0" w:rsidRDefault="005A4FC0">
            <w:pPr>
              <w:spacing w:before="120" w:after="120"/>
              <w:rPr>
                <w:rFonts w:ascii="Arial Nova" w:eastAsia="Arial" w:hAnsi="Arial Nova" w:cs="Arial"/>
                <w:b/>
                <w:bCs/>
                <w:sz w:val="24"/>
                <w:szCs w:val="24"/>
              </w:rPr>
            </w:pPr>
          </w:p>
        </w:tc>
        <w:tc>
          <w:tcPr>
            <w:tcW w:w="5919" w:type="dxa"/>
            <w:tcBorders>
              <w:top w:val="single" w:sz="4" w:space="0" w:color="000000"/>
              <w:left w:val="nil"/>
              <w:bottom w:val="single" w:sz="4" w:space="0" w:color="000000"/>
              <w:right w:val="nil"/>
            </w:tcBorders>
          </w:tcPr>
          <w:p w14:paraId="201CCC57" w14:textId="77777777" w:rsidR="005A4FC0" w:rsidRPr="001142C0" w:rsidRDefault="00C76877">
            <w:pPr>
              <w:spacing w:before="120" w:after="120"/>
              <w:rPr>
                <w:rFonts w:ascii="Arial Nova" w:eastAsia="Arial" w:hAnsi="Arial Nova" w:cs="Arial"/>
                <w:sz w:val="24"/>
                <w:szCs w:val="24"/>
              </w:rPr>
            </w:pPr>
            <w:r w:rsidRPr="001142C0">
              <w:rPr>
                <w:rFonts w:ascii="Arial Nova" w:eastAsia="Arial" w:hAnsi="Arial Nova" w:cs="Arial"/>
                <w:color w:val="000000"/>
                <w:sz w:val="24"/>
                <w:szCs w:val="24"/>
              </w:rPr>
              <w:t xml:space="preserve">ABSTRAK </w:t>
            </w:r>
          </w:p>
        </w:tc>
      </w:tr>
      <w:tr w:rsidR="005A4FC0" w:rsidRPr="001142C0" w14:paraId="4D5C4549" w14:textId="77777777">
        <w:tc>
          <w:tcPr>
            <w:tcW w:w="3055" w:type="dxa"/>
            <w:tcBorders>
              <w:top w:val="single" w:sz="4" w:space="0" w:color="000000"/>
              <w:left w:val="nil"/>
              <w:bottom w:val="single" w:sz="4" w:space="0" w:color="000000"/>
              <w:right w:val="nil"/>
            </w:tcBorders>
          </w:tcPr>
          <w:p w14:paraId="748FD6B3" w14:textId="77777777" w:rsidR="005A4FC0" w:rsidRPr="001142C0" w:rsidRDefault="00C76877">
            <w:pPr>
              <w:jc w:val="both"/>
              <w:rPr>
                <w:rFonts w:ascii="Arial Nova" w:eastAsia="Arial" w:hAnsi="Arial Nova" w:cs="Arial"/>
                <w:b/>
                <w:bCs/>
              </w:rPr>
            </w:pPr>
            <w:r w:rsidRPr="001142C0">
              <w:rPr>
                <w:rFonts w:ascii="Arial Nova" w:eastAsia="Arial" w:hAnsi="Arial Nova" w:cs="Arial"/>
                <w:b/>
                <w:bCs/>
              </w:rPr>
              <w:t>Riwayat Artikel:</w:t>
            </w:r>
          </w:p>
          <w:p w14:paraId="4D2C931A" w14:textId="16381942" w:rsidR="005A4FC0" w:rsidRPr="001142C0" w:rsidRDefault="00C76877">
            <w:pPr>
              <w:jc w:val="both"/>
              <w:rPr>
                <w:rFonts w:ascii="Arial Nova" w:eastAsia="Arial" w:hAnsi="Arial Nova" w:cs="Arial"/>
              </w:rPr>
            </w:pPr>
            <w:r w:rsidRPr="001142C0">
              <w:rPr>
                <w:rFonts w:ascii="Arial Nova" w:eastAsia="Arial" w:hAnsi="Arial Nova" w:cs="Arial"/>
              </w:rPr>
              <w:t>Diterima:</w:t>
            </w:r>
            <w:r w:rsidR="001B201F">
              <w:rPr>
                <w:rFonts w:ascii="Arial Nova" w:eastAsia="Arial" w:hAnsi="Arial Nova" w:cs="Arial"/>
              </w:rPr>
              <w:t xml:space="preserve"> 23 Februari 2026</w:t>
            </w:r>
          </w:p>
          <w:p w14:paraId="421432DF" w14:textId="06926958" w:rsidR="005A4FC0" w:rsidRPr="001142C0" w:rsidRDefault="00C76877">
            <w:pPr>
              <w:jc w:val="both"/>
              <w:rPr>
                <w:rFonts w:ascii="Arial Nova" w:eastAsia="Arial" w:hAnsi="Arial Nova" w:cs="Arial"/>
              </w:rPr>
            </w:pPr>
            <w:r w:rsidRPr="001142C0">
              <w:rPr>
                <w:rFonts w:ascii="Arial Nova" w:eastAsia="Arial" w:hAnsi="Arial Nova" w:cs="Arial"/>
              </w:rPr>
              <w:t>Disetujui:</w:t>
            </w:r>
            <w:r w:rsidR="001B201F">
              <w:rPr>
                <w:rFonts w:ascii="Arial Nova" w:eastAsia="Arial" w:hAnsi="Arial Nova" w:cs="Arial"/>
              </w:rPr>
              <w:t xml:space="preserve"> 22 April 2026</w:t>
            </w:r>
          </w:p>
          <w:p w14:paraId="1BF07A78" w14:textId="77777777" w:rsidR="005A4FC0" w:rsidRPr="001142C0" w:rsidRDefault="005A4FC0">
            <w:pPr>
              <w:jc w:val="both"/>
              <w:rPr>
                <w:rFonts w:ascii="Arial Nova" w:eastAsia="Arial" w:hAnsi="Arial Nova" w:cs="Arial"/>
              </w:rPr>
            </w:pPr>
          </w:p>
        </w:tc>
        <w:tc>
          <w:tcPr>
            <w:tcW w:w="417" w:type="dxa"/>
            <w:vMerge w:val="restart"/>
            <w:tcBorders>
              <w:top w:val="nil"/>
              <w:left w:val="nil"/>
              <w:bottom w:val="nil"/>
              <w:right w:val="nil"/>
            </w:tcBorders>
          </w:tcPr>
          <w:p w14:paraId="7396FED2" w14:textId="77777777" w:rsidR="005A4FC0" w:rsidRPr="001142C0" w:rsidRDefault="005A4FC0">
            <w:pPr>
              <w:jc w:val="both"/>
              <w:rPr>
                <w:rFonts w:ascii="Arial Nova" w:eastAsia="Arial" w:hAnsi="Arial Nova" w:cs="Arial"/>
                <w:i/>
                <w:iCs/>
                <w:sz w:val="24"/>
                <w:szCs w:val="24"/>
              </w:rPr>
            </w:pPr>
          </w:p>
        </w:tc>
        <w:tc>
          <w:tcPr>
            <w:tcW w:w="5919" w:type="dxa"/>
            <w:vMerge w:val="restart"/>
            <w:tcBorders>
              <w:top w:val="single" w:sz="4" w:space="0" w:color="000000"/>
              <w:left w:val="nil"/>
              <w:bottom w:val="nil"/>
              <w:right w:val="nil"/>
            </w:tcBorders>
          </w:tcPr>
          <w:p w14:paraId="02BAA518" w14:textId="77777777" w:rsidR="005A4FC0" w:rsidRPr="001142C0" w:rsidRDefault="00C76877">
            <w:pPr>
              <w:jc w:val="both"/>
              <w:rPr>
                <w:rFonts w:ascii="Arial Nova" w:eastAsia="Arial" w:hAnsi="Arial Nova" w:cs="Arial"/>
                <w:sz w:val="22"/>
                <w:szCs w:val="22"/>
              </w:rPr>
            </w:pPr>
            <w:r w:rsidRPr="001142C0">
              <w:rPr>
                <w:rFonts w:ascii="Arial Nova" w:eastAsia="Arial" w:hAnsi="Arial Nova" w:cs="Arial"/>
                <w:sz w:val="22"/>
                <w:szCs w:val="22"/>
              </w:rPr>
              <w:t xml:space="preserve">Obat merupakan kebutuhan esensial, namun aspek kehalalan obat masih kurang dipahami oleh masyarakat, terutama di wilayah perkampungan. Adanya sertifikasi halal diperlukan untuk menjamin keamanan sekaligus kepatuhan terhadap syariat Islam, mengingat banyak obat mengandung bahan kritis seperti gelatin, enzim, dan pelarut alkohol. Namun masih banyak masyarakat yang belum mengetahui bagaimana cara memilih obat halal. Sehingga Kegiatan Pengabdian Kepada Masyarakat (PKM) ini bertujuan meningkatkan pengetahuan dan kesadaran mengenai obat halal. Program ini dilaksanakan di Kampung Cijugul, Desa Mekarwangi, Kabupaten Garut dengan melibatkan 30 peserta dari kelompok ibu-ibu pengajian. Metode yang digunakan berupa observasi kuantitatif melalui kuesioner, penyuluhan lisan, media </w:t>
            </w:r>
            <w:r w:rsidRPr="001142C0">
              <w:rPr>
                <w:rFonts w:ascii="Arial Nova" w:eastAsia="Arial" w:hAnsi="Arial Nova" w:cs="Arial"/>
                <w:i/>
                <w:iCs/>
                <w:sz w:val="22"/>
                <w:szCs w:val="22"/>
              </w:rPr>
              <w:t>leaflet</w:t>
            </w:r>
            <w:r w:rsidRPr="001142C0">
              <w:rPr>
                <w:rFonts w:ascii="Arial Nova" w:eastAsia="Arial" w:hAnsi="Arial Nova" w:cs="Arial"/>
                <w:sz w:val="22"/>
                <w:szCs w:val="22"/>
              </w:rPr>
              <w:t>, serta evaluasi. Hasil menunjukkan hanya 33,3% peserta memahami definisi obat halal, sementara 66,7% belum mengetahuinya. Sebanyak 60% responden belum mengenali ciri-ciri obat halal secara lengkap, meskipun 73,3% sudah mengenal logo halal. Temuan ini menegaskan adanya kesenjangan pengetahuan yang perlu diatasi melalui edukasi berkelanjutan. PKM terbukti efektif dalam meningkatkan literasi kesehatan serta memperkuat kesadaran masyarakat terhadap pemilihan obat halal.</w:t>
            </w:r>
          </w:p>
        </w:tc>
      </w:tr>
      <w:tr w:rsidR="005A4FC0" w:rsidRPr="001142C0" w14:paraId="0255BC71" w14:textId="77777777">
        <w:tc>
          <w:tcPr>
            <w:tcW w:w="3055" w:type="dxa"/>
            <w:tcBorders>
              <w:top w:val="single" w:sz="4" w:space="0" w:color="000000"/>
              <w:left w:val="nil"/>
              <w:bottom w:val="single" w:sz="4" w:space="0" w:color="000000"/>
              <w:right w:val="nil"/>
            </w:tcBorders>
          </w:tcPr>
          <w:p w14:paraId="5C446161" w14:textId="77777777" w:rsidR="001142C0" w:rsidRDefault="00C76877">
            <w:pPr>
              <w:jc w:val="both"/>
              <w:rPr>
                <w:rFonts w:ascii="Arial Nova" w:eastAsia="Arial" w:hAnsi="Arial Nova" w:cs="Arial"/>
                <w:b/>
                <w:bCs/>
              </w:rPr>
            </w:pPr>
            <w:r w:rsidRPr="001142C0">
              <w:rPr>
                <w:rFonts w:ascii="Arial Nova" w:eastAsia="Arial" w:hAnsi="Arial Nova" w:cs="Arial"/>
                <w:b/>
                <w:bCs/>
              </w:rPr>
              <w:t xml:space="preserve">Kata Kunci: </w:t>
            </w:r>
          </w:p>
          <w:p w14:paraId="5249A232" w14:textId="4442953F" w:rsidR="001142C0" w:rsidRPr="001142C0" w:rsidRDefault="001142C0">
            <w:pPr>
              <w:jc w:val="both"/>
              <w:rPr>
                <w:rFonts w:ascii="Arial Nova" w:eastAsia="Arial" w:hAnsi="Arial Nova" w:cs="Arial"/>
                <w:bCs/>
              </w:rPr>
            </w:pPr>
            <w:r>
              <w:rPr>
                <w:rFonts w:ascii="Arial Nova" w:eastAsia="Arial" w:hAnsi="Arial Nova" w:cs="Arial"/>
                <w:bCs/>
              </w:rPr>
              <w:t xml:space="preserve">Ciri-ciri obat halal, </w:t>
            </w:r>
            <w:r w:rsidR="00910227">
              <w:rPr>
                <w:rFonts w:ascii="Arial Nova" w:eastAsia="Arial" w:hAnsi="Arial Nova" w:cs="Arial"/>
                <w:bCs/>
              </w:rPr>
              <w:t>kesadaran masyarakat, obat halal, sertifikat halal.</w:t>
            </w:r>
          </w:p>
          <w:p w14:paraId="54714653" w14:textId="77777777" w:rsidR="005A4FC0" w:rsidRPr="001142C0" w:rsidRDefault="005A4FC0" w:rsidP="00910227">
            <w:pPr>
              <w:jc w:val="both"/>
              <w:rPr>
                <w:rFonts w:ascii="Arial Nova" w:eastAsia="Arial" w:hAnsi="Arial Nova" w:cs="Arial"/>
              </w:rPr>
            </w:pPr>
          </w:p>
        </w:tc>
        <w:tc>
          <w:tcPr>
            <w:tcW w:w="417" w:type="dxa"/>
            <w:vMerge/>
            <w:tcBorders>
              <w:top w:val="nil"/>
              <w:left w:val="nil"/>
              <w:bottom w:val="nil"/>
              <w:right w:val="nil"/>
            </w:tcBorders>
          </w:tcPr>
          <w:p w14:paraId="18A3CBC6" w14:textId="77777777" w:rsidR="005A4FC0" w:rsidRPr="001142C0" w:rsidRDefault="005A4FC0">
            <w:pPr>
              <w:widowControl w:val="0"/>
              <w:pBdr>
                <w:top w:val="nil"/>
                <w:left w:val="nil"/>
                <w:bottom w:val="nil"/>
                <w:right w:val="nil"/>
                <w:between w:val="nil"/>
              </w:pBdr>
              <w:spacing w:line="276" w:lineRule="auto"/>
              <w:jc w:val="left"/>
              <w:rPr>
                <w:rFonts w:ascii="Arial Nova" w:eastAsia="Arial" w:hAnsi="Arial Nova" w:cs="Arial"/>
              </w:rPr>
            </w:pPr>
          </w:p>
        </w:tc>
        <w:tc>
          <w:tcPr>
            <w:tcW w:w="5919" w:type="dxa"/>
            <w:vMerge/>
            <w:tcBorders>
              <w:top w:val="single" w:sz="4" w:space="0" w:color="000000"/>
              <w:left w:val="nil"/>
              <w:bottom w:val="nil"/>
              <w:right w:val="nil"/>
            </w:tcBorders>
          </w:tcPr>
          <w:p w14:paraId="5ECD3ACD" w14:textId="77777777" w:rsidR="005A4FC0" w:rsidRPr="001142C0" w:rsidRDefault="005A4FC0">
            <w:pPr>
              <w:widowControl w:val="0"/>
              <w:pBdr>
                <w:top w:val="nil"/>
                <w:left w:val="nil"/>
                <w:bottom w:val="nil"/>
                <w:right w:val="nil"/>
                <w:between w:val="nil"/>
              </w:pBdr>
              <w:spacing w:line="276" w:lineRule="auto"/>
              <w:jc w:val="left"/>
              <w:rPr>
                <w:rFonts w:ascii="Arial Nova" w:eastAsia="Arial" w:hAnsi="Arial Nova" w:cs="Arial"/>
              </w:rPr>
            </w:pPr>
          </w:p>
        </w:tc>
      </w:tr>
      <w:tr w:rsidR="005A4FC0" w:rsidRPr="001142C0" w14:paraId="091D0121" w14:textId="77777777">
        <w:tc>
          <w:tcPr>
            <w:tcW w:w="3055" w:type="dxa"/>
            <w:tcBorders>
              <w:top w:val="single" w:sz="4" w:space="0" w:color="000000"/>
              <w:left w:val="nil"/>
              <w:bottom w:val="single" w:sz="4" w:space="0" w:color="000000"/>
              <w:right w:val="nil"/>
            </w:tcBorders>
          </w:tcPr>
          <w:p w14:paraId="2E2AF918" w14:textId="77777777" w:rsidR="005A4FC0" w:rsidRPr="001142C0" w:rsidRDefault="005A4FC0">
            <w:pPr>
              <w:rPr>
                <w:rFonts w:ascii="Arial Nova" w:eastAsia="Arial" w:hAnsi="Arial Nova" w:cs="Arial"/>
                <w:b/>
                <w:bCs/>
                <w:i/>
                <w:iCs/>
                <w:sz w:val="24"/>
                <w:szCs w:val="24"/>
              </w:rPr>
            </w:pPr>
          </w:p>
        </w:tc>
        <w:tc>
          <w:tcPr>
            <w:tcW w:w="417" w:type="dxa"/>
            <w:tcBorders>
              <w:top w:val="single" w:sz="4" w:space="0" w:color="000000"/>
              <w:left w:val="nil"/>
              <w:bottom w:val="single" w:sz="4" w:space="0" w:color="000000"/>
              <w:right w:val="nil"/>
            </w:tcBorders>
          </w:tcPr>
          <w:p w14:paraId="41A2D07C" w14:textId="77777777" w:rsidR="005A4FC0" w:rsidRPr="001142C0" w:rsidRDefault="005A4FC0">
            <w:pPr>
              <w:rPr>
                <w:rFonts w:ascii="Arial Nova" w:eastAsia="Arial" w:hAnsi="Arial Nova" w:cs="Arial"/>
                <w:b/>
                <w:bCs/>
                <w:i/>
                <w:iCs/>
                <w:sz w:val="24"/>
                <w:szCs w:val="24"/>
              </w:rPr>
            </w:pPr>
          </w:p>
        </w:tc>
        <w:tc>
          <w:tcPr>
            <w:tcW w:w="5919" w:type="dxa"/>
            <w:tcBorders>
              <w:top w:val="single" w:sz="4" w:space="0" w:color="000000"/>
              <w:left w:val="nil"/>
              <w:bottom w:val="single" w:sz="4" w:space="0" w:color="000000"/>
              <w:right w:val="nil"/>
            </w:tcBorders>
          </w:tcPr>
          <w:p w14:paraId="1E24E975" w14:textId="77777777" w:rsidR="005A4FC0" w:rsidRPr="001142C0" w:rsidRDefault="005A4FC0">
            <w:pPr>
              <w:rPr>
                <w:rFonts w:ascii="Arial Nova" w:eastAsia="Arial" w:hAnsi="Arial Nova" w:cs="Arial"/>
                <w:b/>
                <w:bCs/>
                <w:i/>
                <w:iCs/>
                <w:sz w:val="24"/>
                <w:szCs w:val="24"/>
              </w:rPr>
            </w:pPr>
          </w:p>
        </w:tc>
      </w:tr>
      <w:tr w:rsidR="005A4FC0" w:rsidRPr="001142C0" w14:paraId="6FD5E1EA" w14:textId="77777777">
        <w:tc>
          <w:tcPr>
            <w:tcW w:w="3055" w:type="dxa"/>
            <w:tcBorders>
              <w:top w:val="single" w:sz="4" w:space="0" w:color="000000"/>
              <w:left w:val="nil"/>
              <w:bottom w:val="single" w:sz="4" w:space="0" w:color="000000"/>
              <w:right w:val="nil"/>
            </w:tcBorders>
          </w:tcPr>
          <w:p w14:paraId="38C0F760" w14:textId="77777777" w:rsidR="005A4FC0" w:rsidRPr="001142C0" w:rsidRDefault="00C76877">
            <w:pPr>
              <w:spacing w:before="120" w:after="120"/>
              <w:rPr>
                <w:rFonts w:ascii="Arial Nova" w:eastAsia="Arial" w:hAnsi="Arial Nova" w:cs="Arial"/>
                <w:b/>
                <w:bCs/>
                <w:i/>
                <w:iCs/>
                <w:sz w:val="24"/>
                <w:szCs w:val="24"/>
              </w:rPr>
            </w:pPr>
            <w:r w:rsidRPr="001142C0">
              <w:rPr>
                <w:rFonts w:ascii="Arial Nova" w:eastAsia="Arial" w:hAnsi="Arial Nova" w:cs="Arial"/>
                <w:b/>
                <w:bCs/>
                <w:i/>
                <w:iCs/>
                <w:sz w:val="24"/>
                <w:szCs w:val="24"/>
              </w:rPr>
              <w:t>ARTICLE INFO</w:t>
            </w:r>
          </w:p>
        </w:tc>
        <w:tc>
          <w:tcPr>
            <w:tcW w:w="417" w:type="dxa"/>
            <w:tcBorders>
              <w:top w:val="single" w:sz="4" w:space="0" w:color="000000"/>
              <w:left w:val="nil"/>
              <w:bottom w:val="single" w:sz="4" w:space="0" w:color="000000"/>
              <w:right w:val="nil"/>
            </w:tcBorders>
          </w:tcPr>
          <w:p w14:paraId="5DDEF40B" w14:textId="77777777" w:rsidR="005A4FC0" w:rsidRPr="001142C0" w:rsidRDefault="005A4FC0">
            <w:pPr>
              <w:spacing w:before="120" w:after="120"/>
              <w:rPr>
                <w:rFonts w:ascii="Arial Nova" w:eastAsia="Arial" w:hAnsi="Arial Nova" w:cs="Arial"/>
                <w:b/>
                <w:bCs/>
                <w:i/>
                <w:iCs/>
                <w:sz w:val="24"/>
                <w:szCs w:val="24"/>
              </w:rPr>
            </w:pPr>
          </w:p>
        </w:tc>
        <w:tc>
          <w:tcPr>
            <w:tcW w:w="5919" w:type="dxa"/>
            <w:tcBorders>
              <w:top w:val="single" w:sz="4" w:space="0" w:color="000000"/>
              <w:left w:val="nil"/>
              <w:bottom w:val="single" w:sz="4" w:space="0" w:color="000000"/>
              <w:right w:val="nil"/>
            </w:tcBorders>
          </w:tcPr>
          <w:p w14:paraId="4D451F7D" w14:textId="77777777" w:rsidR="005A4FC0" w:rsidRPr="001142C0" w:rsidRDefault="00C76877">
            <w:pPr>
              <w:spacing w:before="120" w:after="120"/>
              <w:rPr>
                <w:rFonts w:ascii="Arial Nova" w:eastAsia="Arial" w:hAnsi="Arial Nova" w:cs="Arial"/>
                <w:b/>
                <w:bCs/>
                <w:i/>
                <w:iCs/>
                <w:sz w:val="24"/>
                <w:szCs w:val="24"/>
              </w:rPr>
            </w:pPr>
            <w:r w:rsidRPr="001142C0">
              <w:rPr>
                <w:rFonts w:ascii="Arial Nova" w:eastAsia="Arial" w:hAnsi="Arial Nova" w:cs="Arial"/>
                <w:b/>
                <w:bCs/>
                <w:i/>
                <w:iCs/>
                <w:color w:val="000000"/>
                <w:sz w:val="24"/>
                <w:szCs w:val="24"/>
              </w:rPr>
              <w:t xml:space="preserve">ABSTRACT </w:t>
            </w:r>
          </w:p>
        </w:tc>
      </w:tr>
      <w:tr w:rsidR="005A4FC0" w:rsidRPr="001142C0" w14:paraId="62B0BBCB" w14:textId="77777777">
        <w:tc>
          <w:tcPr>
            <w:tcW w:w="3055" w:type="dxa"/>
            <w:tcBorders>
              <w:top w:val="single" w:sz="4" w:space="0" w:color="000000"/>
              <w:left w:val="nil"/>
              <w:bottom w:val="single" w:sz="4" w:space="0" w:color="000000"/>
              <w:right w:val="nil"/>
            </w:tcBorders>
          </w:tcPr>
          <w:p w14:paraId="7B48B03C" w14:textId="77777777" w:rsidR="005A4FC0" w:rsidRPr="001142C0" w:rsidRDefault="00C76877">
            <w:pPr>
              <w:jc w:val="both"/>
              <w:rPr>
                <w:rFonts w:ascii="Arial Nova" w:eastAsia="Arial" w:hAnsi="Arial Nova" w:cs="Arial"/>
                <w:b/>
                <w:bCs/>
                <w:i/>
                <w:iCs/>
              </w:rPr>
            </w:pPr>
            <w:r w:rsidRPr="001142C0">
              <w:rPr>
                <w:rFonts w:ascii="Arial Nova" w:eastAsia="Arial" w:hAnsi="Arial Nova" w:cs="Arial"/>
                <w:b/>
                <w:bCs/>
                <w:i/>
                <w:iCs/>
              </w:rPr>
              <w:t>Article History:</w:t>
            </w:r>
          </w:p>
          <w:p w14:paraId="2E9DF318" w14:textId="42104378" w:rsidR="005A4FC0" w:rsidRPr="001142C0" w:rsidRDefault="00C76877">
            <w:pPr>
              <w:jc w:val="both"/>
              <w:rPr>
                <w:rFonts w:ascii="Arial Nova" w:eastAsia="Arial" w:hAnsi="Arial Nova" w:cs="Arial"/>
                <w:i/>
                <w:iCs/>
              </w:rPr>
            </w:pPr>
            <w:r w:rsidRPr="001142C0">
              <w:rPr>
                <w:rFonts w:ascii="Arial Nova" w:eastAsia="Arial" w:hAnsi="Arial Nova" w:cs="Arial"/>
                <w:i/>
                <w:iCs/>
              </w:rPr>
              <w:t>Received:</w:t>
            </w:r>
            <w:r w:rsidR="001B201F">
              <w:rPr>
                <w:rFonts w:ascii="Arial Nova" w:eastAsia="Arial" w:hAnsi="Arial Nova" w:cs="Arial"/>
                <w:i/>
                <w:iCs/>
              </w:rPr>
              <w:t xml:space="preserve"> February 23, 2026</w:t>
            </w:r>
          </w:p>
          <w:p w14:paraId="7C83BEF3" w14:textId="20536D75" w:rsidR="005A4FC0" w:rsidRPr="001142C0" w:rsidRDefault="00C76877">
            <w:pPr>
              <w:jc w:val="both"/>
              <w:rPr>
                <w:rFonts w:ascii="Arial Nova" w:eastAsia="Arial" w:hAnsi="Arial Nova" w:cs="Arial"/>
                <w:i/>
                <w:iCs/>
              </w:rPr>
            </w:pPr>
            <w:r w:rsidRPr="001142C0">
              <w:rPr>
                <w:rFonts w:ascii="Arial Nova" w:eastAsia="Arial" w:hAnsi="Arial Nova" w:cs="Arial"/>
                <w:i/>
                <w:iCs/>
              </w:rPr>
              <w:lastRenderedPageBreak/>
              <w:t>Accepted:</w:t>
            </w:r>
            <w:r w:rsidR="001B201F">
              <w:rPr>
                <w:rFonts w:ascii="Arial Nova" w:eastAsia="Arial" w:hAnsi="Arial Nova" w:cs="Arial"/>
                <w:i/>
                <w:iCs/>
              </w:rPr>
              <w:t xml:space="preserve"> April 22, 2026</w:t>
            </w:r>
          </w:p>
          <w:p w14:paraId="65416B4F" w14:textId="77777777" w:rsidR="005A4FC0" w:rsidRPr="001142C0" w:rsidRDefault="00C76877">
            <w:pPr>
              <w:jc w:val="both"/>
              <w:rPr>
                <w:rFonts w:ascii="Arial Nova" w:eastAsia="Arial" w:hAnsi="Arial Nova" w:cs="Arial"/>
                <w:i/>
                <w:iCs/>
              </w:rPr>
            </w:pPr>
            <w:r w:rsidRPr="001142C0">
              <w:rPr>
                <w:rFonts w:ascii="Arial Nova" w:eastAsia="Arial" w:hAnsi="Arial Nova" w:cs="Arial"/>
                <w:i/>
                <w:iCs/>
              </w:rPr>
              <w:t xml:space="preserve"> </w:t>
            </w:r>
          </w:p>
        </w:tc>
        <w:tc>
          <w:tcPr>
            <w:tcW w:w="417" w:type="dxa"/>
            <w:tcBorders>
              <w:top w:val="single" w:sz="4" w:space="0" w:color="000000"/>
              <w:left w:val="nil"/>
              <w:bottom w:val="nil"/>
              <w:right w:val="nil"/>
            </w:tcBorders>
          </w:tcPr>
          <w:p w14:paraId="19BE996E" w14:textId="77777777" w:rsidR="005A4FC0" w:rsidRPr="001142C0" w:rsidRDefault="005A4FC0">
            <w:pPr>
              <w:jc w:val="both"/>
              <w:rPr>
                <w:rFonts w:ascii="Arial Nova" w:eastAsia="Arial" w:hAnsi="Arial Nova" w:cs="Arial"/>
                <w:i/>
                <w:iCs/>
                <w:sz w:val="24"/>
                <w:szCs w:val="24"/>
              </w:rPr>
            </w:pPr>
          </w:p>
        </w:tc>
        <w:tc>
          <w:tcPr>
            <w:tcW w:w="5919" w:type="dxa"/>
            <w:vMerge w:val="restart"/>
            <w:tcBorders>
              <w:top w:val="single" w:sz="4" w:space="0" w:color="000000"/>
              <w:left w:val="nil"/>
              <w:bottom w:val="single" w:sz="4" w:space="0" w:color="000000"/>
              <w:right w:val="nil"/>
            </w:tcBorders>
          </w:tcPr>
          <w:p w14:paraId="4010E1BC" w14:textId="77777777" w:rsidR="005A4FC0" w:rsidRPr="001142C0" w:rsidRDefault="00C76877">
            <w:pPr>
              <w:jc w:val="both"/>
              <w:rPr>
                <w:rFonts w:ascii="Arial Nova" w:eastAsia="Arial" w:hAnsi="Arial Nova" w:cs="Arial"/>
                <w:i/>
                <w:iCs/>
                <w:sz w:val="22"/>
                <w:szCs w:val="22"/>
              </w:rPr>
            </w:pPr>
            <w:r w:rsidRPr="001142C0">
              <w:rPr>
                <w:rFonts w:ascii="Arial Nova" w:eastAsia="Arial" w:hAnsi="Arial Nova" w:cs="Arial"/>
                <w:i/>
                <w:iCs/>
                <w:sz w:val="22"/>
                <w:szCs w:val="22"/>
              </w:rPr>
              <w:t>Medicine is an essential need; however, the halal aspect of medicine is still poorly understood by the community, especially in rural areas. Halal certification is necessary to ensure safety as well as compliance with Islamic law, considering that many medicines contain critical ingredients such as gelatin, enzymes, and alcohol-based solvents. Yet, many people still do not know how to choose halal medicines. Therefore, this Community Service Program (PKM) aims to increase knowledge and awareness regarding halal medicines. The program was carried out in Kampung Cijugul, Mekarwangi Village, Garut Regency, involving 30 participants from a women’s religious study group. The methods used included quantitative observation through questionnaires, oral counseling, leaflet media, and evaluation. The results showed that only 33.3% of participants understood the definition of halal medicine, while 66.7% did not. As many as 60% of respondents had not fully recognized the characteristics of halal medicine, although 73.3% were already familiar with the halal logo. These findings highlight a knowledge gap that needs to be addressed through continuous education. The PKM proved effective in improving health literacy and strengthening community awareness of choosing halal medicines.</w:t>
            </w:r>
          </w:p>
        </w:tc>
      </w:tr>
      <w:tr w:rsidR="005A4FC0" w:rsidRPr="001142C0" w14:paraId="57F2B393" w14:textId="77777777">
        <w:tc>
          <w:tcPr>
            <w:tcW w:w="3055" w:type="dxa"/>
            <w:tcBorders>
              <w:top w:val="single" w:sz="4" w:space="0" w:color="000000"/>
              <w:left w:val="nil"/>
              <w:bottom w:val="single" w:sz="4" w:space="0" w:color="000000"/>
              <w:right w:val="nil"/>
            </w:tcBorders>
          </w:tcPr>
          <w:p w14:paraId="49645AF1" w14:textId="77777777" w:rsidR="00910227" w:rsidRDefault="00C76877">
            <w:pPr>
              <w:jc w:val="left"/>
              <w:rPr>
                <w:rFonts w:ascii="Arial Nova" w:eastAsia="Arial" w:hAnsi="Arial Nova" w:cs="Arial"/>
                <w:i/>
                <w:iCs/>
              </w:rPr>
            </w:pPr>
            <w:r w:rsidRPr="001142C0">
              <w:rPr>
                <w:rFonts w:ascii="Arial Nova" w:eastAsia="Arial" w:hAnsi="Arial Nova" w:cs="Arial"/>
                <w:b/>
                <w:bCs/>
                <w:i/>
                <w:iCs/>
              </w:rPr>
              <w:lastRenderedPageBreak/>
              <w:t>Keywords</w:t>
            </w:r>
            <w:r w:rsidRPr="001142C0">
              <w:rPr>
                <w:rFonts w:ascii="Arial Nova" w:eastAsia="Arial" w:hAnsi="Arial Nova" w:cs="Arial"/>
                <w:i/>
                <w:iCs/>
              </w:rPr>
              <w:t xml:space="preserve">: </w:t>
            </w:r>
          </w:p>
          <w:p w14:paraId="31213410" w14:textId="6AC3FF88" w:rsidR="005A4FC0" w:rsidRPr="001142C0" w:rsidRDefault="00910227">
            <w:pPr>
              <w:jc w:val="left"/>
              <w:rPr>
                <w:rFonts w:ascii="Arial Nova" w:eastAsia="Arial" w:hAnsi="Arial Nova" w:cs="Arial"/>
                <w:b/>
                <w:bCs/>
                <w:i/>
                <w:iCs/>
              </w:rPr>
            </w:pPr>
            <w:r w:rsidRPr="001142C0">
              <w:rPr>
                <w:rFonts w:ascii="Arial Nova" w:eastAsia="Arial" w:hAnsi="Arial Nova" w:cs="Arial"/>
                <w:i/>
                <w:iCs/>
              </w:rPr>
              <w:t>Certification,</w:t>
            </w:r>
            <w:r>
              <w:rPr>
                <w:rFonts w:ascii="Arial Nova" w:eastAsia="Arial" w:hAnsi="Arial Nova" w:cs="Arial"/>
                <w:i/>
                <w:iCs/>
              </w:rPr>
              <w:t xml:space="preserve"> community a</w:t>
            </w:r>
            <w:r w:rsidRPr="001142C0">
              <w:rPr>
                <w:rFonts w:ascii="Arial Nova" w:eastAsia="Arial" w:hAnsi="Arial Nova" w:cs="Arial"/>
                <w:i/>
                <w:iCs/>
              </w:rPr>
              <w:t>wareness</w:t>
            </w:r>
            <w:r>
              <w:rPr>
                <w:rFonts w:ascii="Arial Nova" w:eastAsia="Arial" w:hAnsi="Arial Nova" w:cs="Arial"/>
                <w:i/>
                <w:iCs/>
              </w:rPr>
              <w:t>, h</w:t>
            </w:r>
            <w:r w:rsidRPr="001142C0">
              <w:rPr>
                <w:rFonts w:ascii="Arial Nova" w:eastAsia="Arial" w:hAnsi="Arial Nova" w:cs="Arial"/>
                <w:i/>
                <w:iCs/>
              </w:rPr>
              <w:t xml:space="preserve">alal </w:t>
            </w:r>
            <w:r>
              <w:rPr>
                <w:rFonts w:ascii="Arial Nova" w:eastAsia="Arial" w:hAnsi="Arial Nova" w:cs="Arial"/>
                <w:i/>
                <w:iCs/>
              </w:rPr>
              <w:t>characteristics of halal m</w:t>
            </w:r>
            <w:r w:rsidRPr="001142C0">
              <w:rPr>
                <w:rFonts w:ascii="Arial Nova" w:eastAsia="Arial" w:hAnsi="Arial Nova" w:cs="Arial"/>
                <w:i/>
                <w:iCs/>
              </w:rPr>
              <w:t>edicine</w:t>
            </w:r>
            <w:r>
              <w:rPr>
                <w:rFonts w:ascii="Arial Nova" w:eastAsia="Arial" w:hAnsi="Arial Nova" w:cs="Arial"/>
                <w:i/>
                <w:iCs/>
              </w:rPr>
              <w:t>, halal medicine.</w:t>
            </w:r>
          </w:p>
          <w:p w14:paraId="61D71111" w14:textId="3B9AE610" w:rsidR="001B201F" w:rsidRDefault="001B201F">
            <w:pPr>
              <w:jc w:val="both"/>
              <w:rPr>
                <w:rFonts w:ascii="Arial Nova" w:eastAsia="Arial" w:hAnsi="Arial Nova" w:cs="Arial"/>
                <w:i/>
                <w:iCs/>
              </w:rPr>
            </w:pPr>
          </w:p>
          <w:p w14:paraId="356FEABC" w14:textId="77777777" w:rsidR="001B201F" w:rsidRPr="001B201F" w:rsidRDefault="001B201F" w:rsidP="001B201F">
            <w:pPr>
              <w:rPr>
                <w:rFonts w:ascii="Arial Nova" w:eastAsia="Arial" w:hAnsi="Arial Nova" w:cs="Arial"/>
              </w:rPr>
            </w:pPr>
          </w:p>
          <w:p w14:paraId="38C90C0C" w14:textId="77777777" w:rsidR="001B201F" w:rsidRPr="001B201F" w:rsidRDefault="001B201F" w:rsidP="001B201F">
            <w:pPr>
              <w:rPr>
                <w:rFonts w:ascii="Arial Nova" w:eastAsia="Arial" w:hAnsi="Arial Nova" w:cs="Arial"/>
              </w:rPr>
            </w:pPr>
          </w:p>
          <w:p w14:paraId="0FD31D77" w14:textId="77777777" w:rsidR="001B201F" w:rsidRPr="001B201F" w:rsidRDefault="001B201F" w:rsidP="001B201F">
            <w:pPr>
              <w:rPr>
                <w:rFonts w:ascii="Arial Nova" w:eastAsia="Arial" w:hAnsi="Arial Nova" w:cs="Arial"/>
              </w:rPr>
            </w:pPr>
          </w:p>
          <w:p w14:paraId="6CF877A0" w14:textId="77777777" w:rsidR="001B201F" w:rsidRPr="001B201F" w:rsidRDefault="001B201F" w:rsidP="001B201F">
            <w:pPr>
              <w:rPr>
                <w:rFonts w:ascii="Arial Nova" w:eastAsia="Arial" w:hAnsi="Arial Nova" w:cs="Arial"/>
              </w:rPr>
            </w:pPr>
          </w:p>
          <w:p w14:paraId="3B35F90A" w14:textId="77777777" w:rsidR="001B201F" w:rsidRPr="001B201F" w:rsidRDefault="001B201F" w:rsidP="001B201F">
            <w:pPr>
              <w:rPr>
                <w:rFonts w:ascii="Arial Nova" w:eastAsia="Arial" w:hAnsi="Arial Nova" w:cs="Arial"/>
              </w:rPr>
            </w:pPr>
          </w:p>
          <w:p w14:paraId="2F561765" w14:textId="77777777" w:rsidR="001B201F" w:rsidRPr="001B201F" w:rsidRDefault="001B201F" w:rsidP="001B201F">
            <w:pPr>
              <w:rPr>
                <w:rFonts w:ascii="Arial Nova" w:eastAsia="Arial" w:hAnsi="Arial Nova" w:cs="Arial"/>
              </w:rPr>
            </w:pPr>
          </w:p>
          <w:p w14:paraId="7D5DF88D" w14:textId="77777777" w:rsidR="001B201F" w:rsidRPr="001B201F" w:rsidRDefault="001B201F" w:rsidP="001B201F">
            <w:pPr>
              <w:rPr>
                <w:rFonts w:ascii="Arial Nova" w:eastAsia="Arial" w:hAnsi="Arial Nova" w:cs="Arial"/>
              </w:rPr>
            </w:pPr>
          </w:p>
          <w:p w14:paraId="5C7FD0D5" w14:textId="77777777" w:rsidR="001B201F" w:rsidRPr="001B201F" w:rsidRDefault="001B201F" w:rsidP="001B201F">
            <w:pPr>
              <w:rPr>
                <w:rFonts w:ascii="Arial Nova" w:eastAsia="Arial" w:hAnsi="Arial Nova" w:cs="Arial"/>
              </w:rPr>
            </w:pPr>
          </w:p>
          <w:p w14:paraId="4CE5B27D" w14:textId="77777777" w:rsidR="001B201F" w:rsidRPr="001B201F" w:rsidRDefault="001B201F" w:rsidP="001B201F">
            <w:pPr>
              <w:rPr>
                <w:rFonts w:ascii="Arial Nova" w:eastAsia="Arial" w:hAnsi="Arial Nova" w:cs="Arial"/>
              </w:rPr>
            </w:pPr>
          </w:p>
          <w:p w14:paraId="4078D55F" w14:textId="22FD4805" w:rsidR="001B201F" w:rsidRDefault="001B201F" w:rsidP="001B201F">
            <w:pPr>
              <w:rPr>
                <w:rFonts w:ascii="Arial Nova" w:eastAsia="Arial" w:hAnsi="Arial Nova" w:cs="Arial"/>
              </w:rPr>
            </w:pPr>
          </w:p>
          <w:p w14:paraId="69C09CCA" w14:textId="77777777" w:rsidR="005A4FC0" w:rsidRPr="001B201F" w:rsidRDefault="005A4FC0" w:rsidP="001B201F">
            <w:pPr>
              <w:rPr>
                <w:rFonts w:ascii="Arial Nova" w:eastAsia="Arial" w:hAnsi="Arial Nova" w:cs="Arial"/>
              </w:rPr>
            </w:pPr>
          </w:p>
        </w:tc>
        <w:tc>
          <w:tcPr>
            <w:tcW w:w="417" w:type="dxa"/>
            <w:tcBorders>
              <w:top w:val="nil"/>
              <w:left w:val="nil"/>
              <w:bottom w:val="single" w:sz="4" w:space="0" w:color="000000"/>
              <w:right w:val="nil"/>
            </w:tcBorders>
          </w:tcPr>
          <w:p w14:paraId="12B6AF6A" w14:textId="77777777" w:rsidR="005A4FC0" w:rsidRPr="001142C0" w:rsidRDefault="005A4FC0">
            <w:pPr>
              <w:jc w:val="both"/>
              <w:rPr>
                <w:rFonts w:ascii="Arial Nova" w:eastAsia="Arial" w:hAnsi="Arial Nova" w:cs="Arial"/>
                <w:i/>
                <w:iCs/>
                <w:sz w:val="24"/>
                <w:szCs w:val="24"/>
              </w:rPr>
            </w:pPr>
          </w:p>
        </w:tc>
        <w:tc>
          <w:tcPr>
            <w:tcW w:w="5919" w:type="dxa"/>
            <w:vMerge/>
            <w:tcBorders>
              <w:top w:val="single" w:sz="4" w:space="0" w:color="000000"/>
              <w:left w:val="nil"/>
              <w:bottom w:val="single" w:sz="4" w:space="0" w:color="000000"/>
              <w:right w:val="nil"/>
            </w:tcBorders>
          </w:tcPr>
          <w:p w14:paraId="0574411D" w14:textId="77777777" w:rsidR="005A4FC0" w:rsidRPr="001142C0" w:rsidRDefault="005A4FC0">
            <w:pPr>
              <w:widowControl w:val="0"/>
              <w:pBdr>
                <w:top w:val="nil"/>
                <w:left w:val="nil"/>
                <w:bottom w:val="nil"/>
                <w:right w:val="nil"/>
                <w:between w:val="nil"/>
              </w:pBdr>
              <w:spacing w:line="276" w:lineRule="auto"/>
              <w:jc w:val="left"/>
              <w:rPr>
                <w:rFonts w:ascii="Arial Nova" w:eastAsia="Arial" w:hAnsi="Arial Nova" w:cs="Arial"/>
                <w:i/>
                <w:iCs/>
                <w:sz w:val="24"/>
                <w:szCs w:val="24"/>
              </w:rPr>
            </w:pPr>
          </w:p>
        </w:tc>
      </w:tr>
    </w:tbl>
    <w:p w14:paraId="14DFF788" w14:textId="77777777" w:rsidR="005A4FC0" w:rsidRPr="001142C0" w:rsidRDefault="005A4FC0">
      <w:pPr>
        <w:rPr>
          <w:rFonts w:ascii="Arial Nova" w:eastAsia="Arial" w:hAnsi="Arial Nova" w:cs="Arial"/>
        </w:rPr>
        <w:sectPr w:rsidR="005A4FC0" w:rsidRPr="001142C0">
          <w:headerReference w:type="even" r:id="rId19"/>
          <w:headerReference w:type="default" r:id="rId20"/>
          <w:footerReference w:type="even" r:id="rId21"/>
          <w:footerReference w:type="default" r:id="rId22"/>
          <w:pgSz w:w="11909" w:h="16834"/>
          <w:pgMar w:top="1418" w:right="1134" w:bottom="1134" w:left="1134" w:header="720" w:footer="720" w:gutter="0"/>
          <w:pgNumType w:start="1"/>
          <w:cols w:space="720"/>
        </w:sectPr>
      </w:pPr>
    </w:p>
    <w:p w14:paraId="6F27C9CF" w14:textId="77777777" w:rsidR="005A4FC0" w:rsidRPr="001142C0" w:rsidRDefault="00C76877">
      <w:pPr>
        <w:jc w:val="left"/>
        <w:rPr>
          <w:rFonts w:ascii="Arial Nova" w:eastAsia="Arial" w:hAnsi="Arial Nova" w:cs="Arial"/>
          <w:b/>
          <w:bCs/>
          <w:sz w:val="24"/>
          <w:szCs w:val="24"/>
        </w:rPr>
        <w:sectPr w:rsidR="005A4FC0" w:rsidRPr="001142C0">
          <w:type w:val="continuous"/>
          <w:pgSz w:w="11909" w:h="16834"/>
          <w:pgMar w:top="1418" w:right="1134" w:bottom="1134" w:left="1134" w:header="720" w:footer="720" w:gutter="0"/>
          <w:cols w:num="2" w:space="720" w:equalWidth="0">
            <w:col w:w="4640" w:space="360"/>
            <w:col w:w="4640" w:space="0"/>
          </w:cols>
        </w:sectPr>
      </w:pPr>
      <w:r w:rsidRPr="001142C0">
        <w:rPr>
          <w:rFonts w:ascii="Arial Nova" w:hAnsi="Arial Nova"/>
        </w:rPr>
        <w:br w:type="page"/>
      </w:r>
    </w:p>
    <w:p w14:paraId="64760D3F" w14:textId="77777777" w:rsidR="005A4FC0" w:rsidRPr="001142C0" w:rsidRDefault="00C76877">
      <w:pPr>
        <w:numPr>
          <w:ilvl w:val="0"/>
          <w:numId w:val="1"/>
        </w:numPr>
        <w:pBdr>
          <w:top w:val="nil"/>
          <w:left w:val="nil"/>
          <w:bottom w:val="nil"/>
          <w:right w:val="nil"/>
          <w:between w:val="nil"/>
        </w:pBdr>
        <w:tabs>
          <w:tab w:val="left" w:pos="426"/>
        </w:tabs>
        <w:ind w:left="426" w:hanging="426"/>
        <w:jc w:val="both"/>
        <w:rPr>
          <w:rFonts w:ascii="Arial Nova" w:eastAsia="Arial" w:hAnsi="Arial Nova" w:cs="Arial"/>
          <w:b/>
          <w:bCs/>
          <w:color w:val="000000"/>
          <w:sz w:val="24"/>
          <w:szCs w:val="24"/>
        </w:rPr>
      </w:pPr>
      <w:r w:rsidRPr="001142C0">
        <w:rPr>
          <w:rFonts w:ascii="Arial Nova" w:eastAsia="Arial" w:hAnsi="Arial Nova" w:cs="Arial"/>
          <w:b/>
          <w:bCs/>
          <w:color w:val="000000"/>
          <w:sz w:val="24"/>
          <w:szCs w:val="24"/>
        </w:rPr>
        <w:t xml:space="preserve">PENDAHULUAN </w:t>
      </w:r>
    </w:p>
    <w:p w14:paraId="1FE71E41" w14:textId="77777777" w:rsidR="005A4FC0" w:rsidRPr="001142C0" w:rsidRDefault="005A4FC0">
      <w:pPr>
        <w:pBdr>
          <w:top w:val="nil"/>
          <w:left w:val="nil"/>
          <w:bottom w:val="nil"/>
          <w:right w:val="nil"/>
          <w:between w:val="nil"/>
        </w:pBdr>
        <w:tabs>
          <w:tab w:val="left" w:pos="426"/>
        </w:tabs>
        <w:ind w:left="426"/>
        <w:jc w:val="both"/>
        <w:rPr>
          <w:rFonts w:ascii="Arial Nova" w:eastAsia="Arial" w:hAnsi="Arial Nova" w:cs="Arial"/>
          <w:b/>
          <w:bCs/>
          <w:color w:val="000000"/>
          <w:sz w:val="24"/>
          <w:szCs w:val="24"/>
        </w:rPr>
      </w:pPr>
    </w:p>
    <w:p w14:paraId="1FC2C31B" w14:textId="7C57F78D" w:rsidR="008B0016" w:rsidRPr="001142C0" w:rsidRDefault="00C76877" w:rsidP="008B0016">
      <w:pPr>
        <w:pBdr>
          <w:top w:val="nil"/>
          <w:left w:val="nil"/>
          <w:bottom w:val="nil"/>
          <w:right w:val="nil"/>
          <w:between w:val="nil"/>
        </w:pBdr>
        <w:ind w:firstLine="426"/>
        <w:jc w:val="both"/>
        <w:rPr>
          <w:rFonts w:ascii="Arial Nova" w:eastAsia="Arial" w:hAnsi="Arial Nova" w:cs="Arial"/>
          <w:sz w:val="24"/>
          <w:szCs w:val="24"/>
        </w:rPr>
      </w:pPr>
      <w:r w:rsidRPr="001142C0">
        <w:rPr>
          <w:rFonts w:ascii="Arial Nova" w:eastAsia="Arial" w:hAnsi="Arial Nova" w:cs="Arial"/>
          <w:sz w:val="24"/>
          <w:szCs w:val="24"/>
        </w:rPr>
        <w:t>Obat merupakan kebutuhan esensial bagi masyarakat. Khususnya umat Muslim, aspek kehalalan obat menjadi hal penting untuk menjamin keamanan dan kepatuhan terhadap syariat Islam. Sertifikasi halal diperlukan karena obat berpotensi mengandung bahan dengan titik kritis kehalalan, seperti turunan hewani, enzim, gelatin, dan pelarut tertentu, sehingga pengawasan melalui sertifikasi halal menjadi faktor krusial</w:t>
      </w:r>
      <w:r w:rsidR="00143C60">
        <w:rPr>
          <w:rFonts w:ascii="Arial Nova" w:eastAsia="Arial" w:hAnsi="Arial Nova" w:cs="Arial"/>
          <w:sz w:val="24"/>
          <w:szCs w:val="24"/>
        </w:rPr>
        <w:t xml:space="preserve"> </w:t>
      </w:r>
      <w:hyperlink w:anchor="Setiawati" w:history="1">
        <w:r w:rsidR="00143C60" w:rsidRPr="00380FE9">
          <w:rPr>
            <w:rStyle w:val="Hyperlink"/>
            <w:rFonts w:ascii="Arial Nova" w:eastAsia="Arial" w:hAnsi="Arial Nova" w:cs="Arial"/>
            <w:color w:val="auto"/>
            <w:sz w:val="24"/>
            <w:szCs w:val="24"/>
            <w:u w:val="none"/>
          </w:rPr>
          <w:fldChar w:fldCharType="begin" w:fldLock="1"/>
        </w:r>
        <w:r w:rsidR="00143C60" w:rsidRPr="00380FE9">
          <w:rPr>
            <w:rStyle w:val="Hyperlink"/>
            <w:rFonts w:ascii="Arial Nova" w:eastAsia="Arial" w:hAnsi="Arial Nova" w:cs="Arial"/>
            <w:color w:val="auto"/>
            <w:sz w:val="24"/>
            <w:szCs w:val="24"/>
            <w:u w:val="none"/>
          </w:rPr>
          <w:instrText>ADDIN CSL_CITATION {"citationItems":[{"id":"ITEM-1","itemData":{"DOI":"https://doi.org/10.61132/jpaes.v2i4.1573","abstract":"This study aims to examine the implementation and compliance with halal principles in pharmaceutical and cosmetic products in Indonesia. The halal aspect in these industries is crucial, as it directly relates to the permissibility of raw materials, production processes, and distribution that are consumed and used by Muslim communities. The research method applied is a literature review, analyzing government regulations, religious fatwas, and relevant previous studies. The findings indicate that the implementation of halal principles covers various aspects, including the selection of raw materials free from prohibited or impure substances, production processes that meet hygiene and halal standards, proper storage, distribution that is separated from non-halal products, and transparent marketing strategies. Producers’ compliance with halal requirements is influenced by several factors, such as growing consumer awareness, the role of government regulations in mandating halal certification, and corporate social as well as ethical responsibility. Nevertheless, there are still obstacles in its application, including the limited understanding of halal standards among certain producers, the lack of halal testing facilities, and certification costs that are considered burdensome for small and medium-sized enterprises. This study emphasizes that the success of halal implementation in pharmaceutical and cosmetic products requires collaboration among all stakeholders, including government bodies, halal certification authorities, industries, and society. Through such synergistic efforts, the sustainability of the halal industry can be ensured while also providing safety, comfort, and spiritual assurance for Muslim consumers in Indonesia.","author":[{"dropping-particle":"","family":"Setiawati","given":"Sindi","non-dropping-particle":"","parse-names":false,"suffix":""},{"dropping-particle":"","family":"Latifa","given":"Mutia","non-dropping-particle":"","parse-names":false,"suffix":""},{"dropping-particle":"","family":"Fahiratunisa","given":"Andara Safitri","non-dropping-particle":"","parse-names":false,"suffix":""},{"dropping-particle":"","family":"Marlina","given":"Lina","non-dropping-particle":"","parse-names":false,"suffix":""}],"container-title":"Jurnal Pajak dan AnalisisEkonomi Syariah (JPAES)","id":"ITEM-1","issue":"4","issued":{"date-parts":[["2025"]]},"page":"17-26","title":"Implementasi dan Kepatuhan Prinsip Halal pada Produk Farmasi dan Kosmetik","type":"article-journal","volume":"2"},"uris":["http://www.mendeley.com/documents/?uuid=9e19d841-e9d8-4587-8ae2-786b51ad5b69"]}],"mendeley":{"formattedCitation":"(Setiawati et al., 2025)","plainTextFormattedCitation":"(Setiawati et al., 2025)","previouslyFormattedCitation":"(Setiawati et al., 2025)"},"properties":{"noteIndex":0},"schema":"https://github.com/citation-style-language/schema/raw/master/csl-citation.json"}</w:instrText>
        </w:r>
        <w:r w:rsidR="00143C60" w:rsidRPr="00380FE9">
          <w:rPr>
            <w:rStyle w:val="Hyperlink"/>
            <w:rFonts w:ascii="Arial Nova" w:eastAsia="Arial" w:hAnsi="Arial Nova" w:cs="Arial"/>
            <w:color w:val="auto"/>
            <w:sz w:val="24"/>
            <w:szCs w:val="24"/>
            <w:u w:val="none"/>
          </w:rPr>
          <w:fldChar w:fldCharType="separate"/>
        </w:r>
        <w:r w:rsidR="00143C60" w:rsidRPr="00380FE9">
          <w:rPr>
            <w:rStyle w:val="Hyperlink"/>
            <w:rFonts w:ascii="Arial Nova" w:eastAsia="Arial" w:hAnsi="Arial Nova" w:cs="Arial"/>
            <w:noProof/>
            <w:color w:val="auto"/>
            <w:sz w:val="24"/>
            <w:szCs w:val="24"/>
            <w:u w:val="none"/>
          </w:rPr>
          <w:t>(Setiawati et al., 2025)</w:t>
        </w:r>
        <w:r w:rsidR="00143C60" w:rsidRPr="00380FE9">
          <w:rPr>
            <w:rStyle w:val="Hyperlink"/>
            <w:rFonts w:ascii="Arial Nova" w:eastAsia="Arial" w:hAnsi="Arial Nova" w:cs="Arial"/>
            <w:color w:val="auto"/>
            <w:sz w:val="24"/>
            <w:szCs w:val="24"/>
            <w:u w:val="none"/>
          </w:rPr>
          <w:fldChar w:fldCharType="end"/>
        </w:r>
      </w:hyperlink>
      <w:r w:rsidRPr="00380FE9">
        <w:rPr>
          <w:rFonts w:ascii="Arial Nova" w:eastAsia="Arial" w:hAnsi="Arial Nova" w:cs="Arial"/>
          <w:sz w:val="24"/>
          <w:szCs w:val="24"/>
        </w:rPr>
        <w:t xml:space="preserve">. </w:t>
      </w:r>
      <w:r w:rsidRPr="001142C0">
        <w:rPr>
          <w:rFonts w:ascii="Arial Nova" w:eastAsia="Arial" w:hAnsi="Arial Nova" w:cs="Arial"/>
          <w:sz w:val="24"/>
          <w:szCs w:val="24"/>
        </w:rPr>
        <w:t>Kesadaran masyarakat Muslim terhadap kehalalan produk farmasi, menjadikan sertifikasi halal sebagai faktor utama dalam meningkatkan kepercayaan konsumen terhadap mutu dan keamanan obat</w:t>
      </w:r>
      <w:r w:rsidR="00143C60">
        <w:rPr>
          <w:rFonts w:ascii="Arial Nova" w:eastAsia="Arial" w:hAnsi="Arial Nova" w:cs="Arial"/>
          <w:sz w:val="24"/>
          <w:szCs w:val="24"/>
        </w:rPr>
        <w:t xml:space="preserve"> </w:t>
      </w:r>
      <w:hyperlink w:anchor="Utami" w:history="1">
        <w:r w:rsidR="00143C60" w:rsidRPr="00380FE9">
          <w:rPr>
            <w:rStyle w:val="Hyperlink"/>
            <w:rFonts w:ascii="Arial Nova" w:eastAsia="Arial" w:hAnsi="Arial Nova" w:cs="Arial"/>
            <w:color w:val="auto"/>
            <w:sz w:val="24"/>
            <w:szCs w:val="24"/>
            <w:u w:val="none"/>
          </w:rPr>
          <w:fldChar w:fldCharType="begin" w:fldLock="1"/>
        </w:r>
        <w:r w:rsidR="00143C60" w:rsidRPr="00380FE9">
          <w:rPr>
            <w:rStyle w:val="Hyperlink"/>
            <w:rFonts w:ascii="Arial Nova" w:eastAsia="Arial" w:hAnsi="Arial Nova" w:cs="Arial"/>
            <w:color w:val="auto"/>
            <w:sz w:val="24"/>
            <w:szCs w:val="24"/>
            <w:u w:val="none"/>
          </w:rPr>
          <w:instrText>ADDIN CSL_CITATION {"citationItems":[{"id":"ITEM-1","itemData":{"DOI":"https://doi.org/10.12928/jhsr.v2i2.3176","ISSN":"2715-6214","abstract":"The trend of the halal industry has increased, both in the world and in Indonesia. The development of halal industry trend has developed in all fields, one of which is halal certification of drugs. Drug products are now also a special concern in the halal product category because, in terms of treatment, society demands that the health products used must be of high quality and halal. The purpose of the study was to find out how the public's perception of halal drug certification and whether there was a relationship between the level of knowledge and the perception of drug halal certification. This type of research is an analytic observational research survey section with a cross-sectional approach. Obtained 102 respondents, then the data were analyzed using the SPSS application, both univariate and bivariate analysis. The results showed that the level of knowledge was moderate (63.7%), the level of perception was good (64.7%) and the level of behavior was good (64.7%). Knowledge has a linear relationship (sig value 0.168 &gt; 0.05) significantly (f value 1.557 &lt; 2.20) to respondents' perceptions of halal certification of drugs, and perceptions of drug halal certification also have a linear relationship (sig value 0.119 &gt; 0, 05) significantly (f value 1.805 &lt; 2.31) on the respondent's drug consumption behavior. Public perception of drug halal certification is good (64.7%) and the better the level of knowledge, the better the perception of drug halal certification (significantly linear).","author":[{"dropping-particle":"","family":"Utami","given":"Zhazha Zetira","non-dropping-particle":"","parse-names":false,"suffix":""},{"dropping-particle":"","family":"Nurkhasanah","given":"Nurkhasanah","non-dropping-particle":"","parse-names":false,"suffix":""}],"container-title":"Journal of Halal Science and Research","id":"ITEM-1","issue":"2","issued":{"date-parts":[["2021"]]},"page":"51-56","title":"Public Perception of Halal Medicine Certification","type":"article-journal","volume":"2"},"uris":["http://www.mendeley.com/documents/?uuid=0b9fda85-7813-3676-b7d2-2906fb0d6684"]}],"mendeley":{"formattedCitation":"(Utami &amp; Nurkhasanah, 2021)","plainTextFormattedCitation":"(Utami &amp; Nurkhasanah, 2021)","previouslyFormattedCitation":"(Utami &amp; Nurkhasanah, 2021)"},"properties":{"noteIndex":0},"schema":"https://github.com/citation-style-language/schema/raw/master/csl-citation.json"}</w:instrText>
        </w:r>
        <w:r w:rsidR="00143C60" w:rsidRPr="00380FE9">
          <w:rPr>
            <w:rStyle w:val="Hyperlink"/>
            <w:rFonts w:ascii="Arial Nova" w:eastAsia="Arial" w:hAnsi="Arial Nova" w:cs="Arial"/>
            <w:color w:val="auto"/>
            <w:sz w:val="24"/>
            <w:szCs w:val="24"/>
            <w:u w:val="none"/>
          </w:rPr>
          <w:fldChar w:fldCharType="separate"/>
        </w:r>
        <w:r w:rsidR="00143C60" w:rsidRPr="00380FE9">
          <w:rPr>
            <w:rStyle w:val="Hyperlink"/>
            <w:rFonts w:ascii="Arial Nova" w:eastAsia="Arial" w:hAnsi="Arial Nova" w:cs="Arial"/>
            <w:noProof/>
            <w:color w:val="auto"/>
            <w:sz w:val="24"/>
            <w:szCs w:val="24"/>
            <w:u w:val="none"/>
          </w:rPr>
          <w:t>(Utami &amp; Nurkhasanah, 2021)</w:t>
        </w:r>
        <w:r w:rsidR="00143C60" w:rsidRPr="00380FE9">
          <w:rPr>
            <w:rStyle w:val="Hyperlink"/>
            <w:rFonts w:ascii="Arial Nova" w:eastAsia="Arial" w:hAnsi="Arial Nova" w:cs="Arial"/>
            <w:color w:val="auto"/>
            <w:sz w:val="24"/>
            <w:szCs w:val="24"/>
            <w:u w:val="none"/>
          </w:rPr>
          <w:fldChar w:fldCharType="end"/>
        </w:r>
      </w:hyperlink>
      <w:r w:rsidRPr="001142C0">
        <w:rPr>
          <w:rFonts w:ascii="Arial Nova" w:eastAsia="Arial" w:hAnsi="Arial Nova" w:cs="Arial"/>
          <w:sz w:val="24"/>
          <w:szCs w:val="24"/>
        </w:rPr>
        <w:t>. Selain itu, kompleksitas rantai pasok, termasuk penggunaan bahan baku impor dengan status halal yang belum pasti, membuat kehalalan obat sulit dipastikan tanpa sertifikasi resmi</w:t>
      </w:r>
      <w:r w:rsidR="00143C60">
        <w:rPr>
          <w:rFonts w:ascii="Arial Nova" w:eastAsia="Arial" w:hAnsi="Arial Nova" w:cs="Arial"/>
          <w:sz w:val="24"/>
          <w:szCs w:val="24"/>
        </w:rPr>
        <w:t xml:space="preserve"> </w:t>
      </w:r>
      <w:hyperlink w:anchor="Hakim" w:history="1">
        <w:r w:rsidR="00143C60" w:rsidRPr="00380FE9">
          <w:rPr>
            <w:rStyle w:val="Hyperlink"/>
            <w:rFonts w:ascii="Arial Nova" w:eastAsia="Arial" w:hAnsi="Arial Nova" w:cs="Arial"/>
            <w:color w:val="auto"/>
            <w:sz w:val="24"/>
            <w:szCs w:val="24"/>
            <w:u w:val="none"/>
          </w:rPr>
          <w:fldChar w:fldCharType="begin" w:fldLock="1"/>
        </w:r>
        <w:r w:rsidR="00143C60" w:rsidRPr="00380FE9">
          <w:rPr>
            <w:rStyle w:val="Hyperlink"/>
            <w:rFonts w:ascii="Arial Nova" w:eastAsia="Arial" w:hAnsi="Arial Nova" w:cs="Arial"/>
            <w:color w:val="auto"/>
            <w:sz w:val="24"/>
            <w:szCs w:val="24"/>
            <w:u w:val="none"/>
          </w:rPr>
          <w:instrText>ADDIN CSL_CITATION {"citationItems":[{"id":"ITEM-1","itemData":{"DOI":"https://doi.org/10.70338/wasatiyah.v5i2.162","abstract":"The halal industry is not only focused on the halal food sector, but has also developed into other sectors, including the pharmaceutical industry. This is supported by an increasing in the market share of halal medicines and the high interest of the Muslim community in using halal medicines. However, this increase in public interest and demand is not comparable to the availability of halal pharmaceuticals in Indonesia. This article will analyze how halal standardization is applied to products in the pharmaceutical industry. This study was designed using the Systematic Literature Review (SLR) method for browsing previous research that published within the 2013-2023 timeframe. The results showed that a product can be considered halal if it can be proven to be free from the critical point of drug halalness and meets the requirements in the halal assurance system (HAS) 23000. Among the obstacles in its implementation are a lot of use of imported raw materials that are not guaranteed to be halal, the complexity of the halal certification process in the pharmaceutical industry and the human resource factor.","author":[{"dropping-particle":"","family":"Hakim","given":"Ummu Habibah","non-dropping-particle":"","parse-names":false,"suffix":""},{"dropping-particle":"","family":"Anggraeni","given":"Fani","non-dropping-particle":"","parse-names":false,"suffix":""}],"container-title":"JIOSE: Journal of Indonesian Sharia Economics","id":"ITEM-1","issue":"2","issued":{"date-parts":[["2023"]]},"page":"171-190","title":"Industri Farmasi dalam Kajian Produk Halal: Pendekatan Systematic Literature Review","type":"article-journal","volume":"2"},"uris":["http://www.mendeley.com/documents/?uuid=c669fea6-f216-3f85-a347-7850c33742e4"]}],"mendeley":{"formattedCitation":"(Hakim &amp; Anggraeni, 2023)","plainTextFormattedCitation":"(Hakim &amp; Anggraeni, 2023)","previouslyFormattedCitation":"(Hakim &amp; Anggraeni, 2023)"},"properties":{"noteIndex":0},"schema":"https://github.com/citation-style-language/schema/raw/master/csl-citation.json"}</w:instrText>
        </w:r>
        <w:r w:rsidR="00143C60" w:rsidRPr="00380FE9">
          <w:rPr>
            <w:rStyle w:val="Hyperlink"/>
            <w:rFonts w:ascii="Arial Nova" w:eastAsia="Arial" w:hAnsi="Arial Nova" w:cs="Arial"/>
            <w:color w:val="auto"/>
            <w:sz w:val="24"/>
            <w:szCs w:val="24"/>
            <w:u w:val="none"/>
          </w:rPr>
          <w:fldChar w:fldCharType="separate"/>
        </w:r>
        <w:r w:rsidR="00143C60" w:rsidRPr="00380FE9">
          <w:rPr>
            <w:rStyle w:val="Hyperlink"/>
            <w:rFonts w:ascii="Arial Nova" w:eastAsia="Arial" w:hAnsi="Arial Nova" w:cs="Arial"/>
            <w:noProof/>
            <w:color w:val="auto"/>
            <w:sz w:val="24"/>
            <w:szCs w:val="24"/>
            <w:u w:val="none"/>
          </w:rPr>
          <w:t>(Hakim &amp; Anggraeni, 2023)</w:t>
        </w:r>
        <w:r w:rsidR="00143C60" w:rsidRPr="00380FE9">
          <w:rPr>
            <w:rStyle w:val="Hyperlink"/>
            <w:rFonts w:ascii="Arial Nova" w:eastAsia="Arial" w:hAnsi="Arial Nova" w:cs="Arial"/>
            <w:color w:val="auto"/>
            <w:sz w:val="24"/>
            <w:szCs w:val="24"/>
            <w:u w:val="none"/>
          </w:rPr>
          <w:fldChar w:fldCharType="end"/>
        </w:r>
      </w:hyperlink>
      <w:r w:rsidRPr="00380FE9">
        <w:rPr>
          <w:rFonts w:ascii="Arial Nova" w:eastAsia="Arial" w:hAnsi="Arial Nova" w:cs="Arial"/>
          <w:sz w:val="24"/>
          <w:szCs w:val="24"/>
        </w:rPr>
        <w:t>.</w:t>
      </w:r>
    </w:p>
    <w:p w14:paraId="6FD4CE33" w14:textId="5596FE64" w:rsidR="008B0016" w:rsidRPr="001142C0" w:rsidRDefault="00C76877" w:rsidP="008B0016">
      <w:pPr>
        <w:pBdr>
          <w:top w:val="nil"/>
          <w:left w:val="nil"/>
          <w:bottom w:val="nil"/>
          <w:right w:val="nil"/>
          <w:between w:val="nil"/>
        </w:pBdr>
        <w:ind w:firstLine="426"/>
        <w:jc w:val="both"/>
        <w:rPr>
          <w:rFonts w:ascii="Arial Nova" w:eastAsia="Arial" w:hAnsi="Arial Nova" w:cs="Arial"/>
          <w:sz w:val="24"/>
          <w:szCs w:val="24"/>
        </w:rPr>
      </w:pPr>
      <w:r w:rsidRPr="001142C0">
        <w:rPr>
          <w:rFonts w:ascii="Arial Nova" w:eastAsia="Arial" w:hAnsi="Arial Nova" w:cs="Arial"/>
          <w:sz w:val="24"/>
          <w:szCs w:val="24"/>
        </w:rPr>
        <w:t>Di sisi lain, regulasi obat di Indonesia mencakup aspek legal, administratif, teknis, dan sosial. Regulasi legal mengatur definisi, klasifikasi, persyaratan, prosedur, serta pengawasan obat tradisional, sedangkan regulasi administratif mencakup registrasi, sertifikasi, dan perizinan oleh BPOM</w:t>
      </w:r>
      <w:r w:rsidR="00143C60">
        <w:rPr>
          <w:rFonts w:ascii="Arial Nova" w:eastAsia="Arial" w:hAnsi="Arial Nova" w:cs="Arial"/>
          <w:sz w:val="24"/>
          <w:szCs w:val="24"/>
        </w:rPr>
        <w:t xml:space="preserve"> </w:t>
      </w:r>
      <w:hyperlink w:anchor="Subarti" w:history="1">
        <w:r w:rsidR="00143C60" w:rsidRPr="00380FE9">
          <w:rPr>
            <w:rStyle w:val="Hyperlink"/>
            <w:rFonts w:ascii="Arial Nova" w:eastAsia="Arial" w:hAnsi="Arial Nova" w:cs="Arial"/>
            <w:color w:val="auto"/>
            <w:sz w:val="24"/>
            <w:szCs w:val="24"/>
            <w:u w:val="none"/>
          </w:rPr>
          <w:fldChar w:fldCharType="begin" w:fldLock="1"/>
        </w:r>
        <w:r w:rsidR="00143C60" w:rsidRPr="00380FE9">
          <w:rPr>
            <w:rStyle w:val="Hyperlink"/>
            <w:rFonts w:ascii="Arial Nova" w:eastAsia="Arial" w:hAnsi="Arial Nova" w:cs="Arial"/>
            <w:color w:val="auto"/>
            <w:sz w:val="24"/>
            <w:szCs w:val="24"/>
            <w:u w:val="none"/>
          </w:rPr>
          <w:instrText>ADDIN CSL_CITATION {"citationItems":[{"id":"ITEM-1","itemData":{"author":[{"dropping-particle":"","family":"Subarti","given":"Dwi","non-dropping-particle":"","parse-names":false,"suffix":""},{"dropping-particle":"","family":"Sunarmi","given":"","non-dropping-particle":"","parse-names":false,"suffix":""}],"container-title":"FARMASINDO","id":"ITEM-1","issue":"2","issued":{"date-parts":[["2025"]]},"page":"328-334","title":"Gambaran Tingkat Pengetahuan tentang Penggolongan Obat dan Jamu pada Ibu-Ibu PKK di Kabupaten Klaten","type":"article-journal","volume":"9"},"uris":["http://www.mendeley.com/documents/?uuid=35bbabc2-d4af-42a8-b9f8-58812063df88"]}],"mendeley":{"formattedCitation":"(Subarti &amp; Sunarmi, 2025)","plainTextFormattedCitation":"(Subarti &amp; Sunarmi, 2025)","previouslyFormattedCitation":"(Subarti &amp; Sunarmi, 2025)"},"properties":{"noteIndex":0},"schema":"https://github.com/citation-style-language/schema/raw/master/csl-citation.json"}</w:instrText>
        </w:r>
        <w:r w:rsidR="00143C60" w:rsidRPr="00380FE9">
          <w:rPr>
            <w:rStyle w:val="Hyperlink"/>
            <w:rFonts w:ascii="Arial Nova" w:eastAsia="Arial" w:hAnsi="Arial Nova" w:cs="Arial"/>
            <w:color w:val="auto"/>
            <w:sz w:val="24"/>
            <w:szCs w:val="24"/>
            <w:u w:val="none"/>
          </w:rPr>
          <w:fldChar w:fldCharType="separate"/>
        </w:r>
        <w:r w:rsidR="00143C60" w:rsidRPr="00380FE9">
          <w:rPr>
            <w:rStyle w:val="Hyperlink"/>
            <w:rFonts w:ascii="Arial Nova" w:eastAsia="Arial" w:hAnsi="Arial Nova" w:cs="Arial"/>
            <w:noProof/>
            <w:color w:val="auto"/>
            <w:sz w:val="24"/>
            <w:szCs w:val="24"/>
            <w:u w:val="none"/>
          </w:rPr>
          <w:t>(Subarti &amp; Sunarmi, 2025)</w:t>
        </w:r>
        <w:r w:rsidR="00143C60" w:rsidRPr="00380FE9">
          <w:rPr>
            <w:rStyle w:val="Hyperlink"/>
            <w:rFonts w:ascii="Arial Nova" w:eastAsia="Arial" w:hAnsi="Arial Nova" w:cs="Arial"/>
            <w:color w:val="auto"/>
            <w:sz w:val="24"/>
            <w:szCs w:val="24"/>
            <w:u w:val="none"/>
          </w:rPr>
          <w:fldChar w:fldCharType="end"/>
        </w:r>
      </w:hyperlink>
      <w:r w:rsidRPr="001142C0">
        <w:rPr>
          <w:rFonts w:ascii="Arial Nova" w:eastAsia="Arial" w:hAnsi="Arial Nova" w:cs="Arial"/>
          <w:sz w:val="24"/>
          <w:szCs w:val="24"/>
        </w:rPr>
        <w:t>. Sistem penggolongan obat sebelum berlakunya UU Nomor 17 Tahun 2023 tentang Kesehatan masih mengacu pada UU Nomor 36 Tahun 2009, dengan fokus pada pembedaan obat resep dan nonresep, namun dinilai belum komprehensif</w:t>
      </w:r>
      <w:r w:rsidR="00143C60">
        <w:rPr>
          <w:rFonts w:ascii="Arial Nova" w:eastAsia="Arial" w:hAnsi="Arial Nova" w:cs="Arial"/>
          <w:sz w:val="24"/>
          <w:szCs w:val="24"/>
        </w:rPr>
        <w:t xml:space="preserve"> </w:t>
      </w:r>
      <w:hyperlink w:anchor="Mauludhin" w:history="1">
        <w:r w:rsidR="00143C60" w:rsidRPr="00380FE9">
          <w:rPr>
            <w:rStyle w:val="Hyperlink"/>
            <w:rFonts w:ascii="Arial Nova" w:eastAsia="Arial" w:hAnsi="Arial Nova" w:cs="Arial"/>
            <w:color w:val="auto"/>
            <w:sz w:val="24"/>
            <w:szCs w:val="24"/>
            <w:u w:val="none"/>
          </w:rPr>
          <w:fldChar w:fldCharType="begin" w:fldLock="1"/>
        </w:r>
        <w:r w:rsidR="00143C60" w:rsidRPr="00380FE9">
          <w:rPr>
            <w:rStyle w:val="Hyperlink"/>
            <w:rFonts w:ascii="Arial Nova" w:eastAsia="Arial" w:hAnsi="Arial Nova" w:cs="Arial"/>
            <w:color w:val="auto"/>
            <w:sz w:val="24"/>
            <w:szCs w:val="24"/>
            <w:u w:val="none"/>
          </w:rPr>
          <w:instrText>ADDIN CSL_CITATION {"citationItems":[{"id":"ITEM-1","itemData":{"DOI":"https://doi.org/10.37329/ganaya.v9i1.5107","author":[{"dropping-particle":"","family":"Mauludhin","given":"Muhammad","non-dropping-particle":"","parse-names":false,"suffix":""},{"dropping-particle":"","family":"Muis","given":"Lidya Shery","non-dropping-particle":"","parse-names":false,"suffix":""}],"container-title":"Ganaya: Jurnal Ilmu Sosial dan Humaniora","id":"ITEM-1","issue":"1","issued":{"date-parts":[["2026"]]},"page":"88-102","title":"Regulasi terhadap Penggolongan Obat di Indonesia Pasca Undang-Undang Nomor 17 Tahun 2023 Tentang Kesehatan","type":"article-journal","volume":"9"},"uris":["http://www.mendeley.com/documents/?uuid=0278e7f8-77ce-4b47-afc4-5583d41975c6"]}],"mendeley":{"formattedCitation":"(Mauludhin &amp; Muis, 2026)","plainTextFormattedCitation":"(Mauludhin &amp; Muis, 2026)","previouslyFormattedCitation":"(Mauludhin &amp; Muis, 2026)"},"properties":{"noteIndex":0},"schema":"https://github.com/citation-style-language/schema/raw/master/csl-citation.json"}</w:instrText>
        </w:r>
        <w:r w:rsidR="00143C60" w:rsidRPr="00380FE9">
          <w:rPr>
            <w:rStyle w:val="Hyperlink"/>
            <w:rFonts w:ascii="Arial Nova" w:eastAsia="Arial" w:hAnsi="Arial Nova" w:cs="Arial"/>
            <w:color w:val="auto"/>
            <w:sz w:val="24"/>
            <w:szCs w:val="24"/>
            <w:u w:val="none"/>
          </w:rPr>
          <w:fldChar w:fldCharType="separate"/>
        </w:r>
        <w:r w:rsidR="00143C60" w:rsidRPr="00380FE9">
          <w:rPr>
            <w:rStyle w:val="Hyperlink"/>
            <w:rFonts w:ascii="Arial Nova" w:eastAsia="Arial" w:hAnsi="Arial Nova" w:cs="Arial"/>
            <w:noProof/>
            <w:color w:val="auto"/>
            <w:sz w:val="24"/>
            <w:szCs w:val="24"/>
            <w:u w:val="none"/>
          </w:rPr>
          <w:t>(Mauludhin &amp; Muis, 2026)</w:t>
        </w:r>
        <w:r w:rsidR="00143C60" w:rsidRPr="00380FE9">
          <w:rPr>
            <w:rStyle w:val="Hyperlink"/>
            <w:rFonts w:ascii="Arial Nova" w:eastAsia="Arial" w:hAnsi="Arial Nova" w:cs="Arial"/>
            <w:color w:val="auto"/>
            <w:sz w:val="24"/>
            <w:szCs w:val="24"/>
            <w:u w:val="none"/>
          </w:rPr>
          <w:fldChar w:fldCharType="end"/>
        </w:r>
      </w:hyperlink>
      <w:r w:rsidR="00143C60">
        <w:rPr>
          <w:rFonts w:ascii="Arial Nova" w:eastAsia="Arial" w:hAnsi="Arial Nova" w:cs="Arial"/>
          <w:sz w:val="24"/>
          <w:szCs w:val="24"/>
        </w:rPr>
        <w:t xml:space="preserve">. </w:t>
      </w:r>
      <w:r w:rsidRPr="001142C0">
        <w:rPr>
          <w:rFonts w:ascii="Arial Nova" w:eastAsia="Arial" w:hAnsi="Arial Nova" w:cs="Arial"/>
          <w:sz w:val="24"/>
          <w:szCs w:val="24"/>
        </w:rPr>
        <w:t>Penggolongan obat di Indonesia didasarkan pada tingkat pengawasan dan risiko, meliputi obat bebas, obat bebas terbatas, obat keras, psikotropika, dan narkotika. Obat tradisional memiliki klasifikasi tersendiri, yaitu jamu, obat herbal terstandar, dan fitofarmaka, yang dibedakan berdasarkan pembuktian keamanan, mutu, dan khasiat</w:t>
      </w:r>
      <w:r w:rsidR="00143C60">
        <w:rPr>
          <w:rFonts w:ascii="Arial Nova" w:eastAsia="Arial" w:hAnsi="Arial Nova" w:cs="Arial"/>
          <w:sz w:val="24"/>
          <w:szCs w:val="24"/>
        </w:rPr>
        <w:t xml:space="preserve"> </w:t>
      </w:r>
      <w:hyperlink w:anchor="Wahidiyatur" w:history="1">
        <w:r w:rsidR="00143C60" w:rsidRPr="00380FE9">
          <w:rPr>
            <w:rStyle w:val="Hyperlink"/>
            <w:rFonts w:ascii="Arial Nova" w:eastAsia="Arial" w:hAnsi="Arial Nova" w:cs="Arial"/>
            <w:color w:val="auto"/>
            <w:sz w:val="24"/>
            <w:szCs w:val="24"/>
            <w:u w:val="none"/>
          </w:rPr>
          <w:fldChar w:fldCharType="begin" w:fldLock="1"/>
        </w:r>
        <w:r w:rsidR="00143C60" w:rsidRPr="00380FE9">
          <w:rPr>
            <w:rStyle w:val="Hyperlink"/>
            <w:rFonts w:ascii="Arial Nova" w:eastAsia="Arial" w:hAnsi="Arial Nova" w:cs="Arial"/>
            <w:color w:val="auto"/>
            <w:sz w:val="24"/>
            <w:szCs w:val="24"/>
            <w:u w:val="none"/>
          </w:rPr>
          <w:instrText>ADDIN CSL_CITATION {"citationItems":[{"id":"ITEM-1","itemData":{"DOI":"https://doi.org/10.66340/wmjff888","abstract":"Traditional medicines are herbal or animal ingredients or concoctions, mineral concoctions, gelanic preparations or mixtures of several herbs that have been used for generations. The research method used in this research is a literature study by collecting and reviewing various sources of information related to traditional medicine regulations, both from the government, academics and practitioners. So the aim of this research is to identify and analyze traditional medicine regulations that apply in Indonesia, as well as provide recommendations for improving and developing regulations that are more in line with the needs and developments of the times.","author":[{"dropping-particle":"","family":"Wahidiyatur","given":"Nura Rohmah","non-dropping-particle":"","parse-names":false,"suffix":""},{"dropping-particle":"","family":"Nafilah","given":"Zumrotin","non-dropping-particle":"","parse-names":false,"suffix":""},{"dropping-particle":"","family":"Regina Hartanti","given":"Devia","non-dropping-particle":"","parse-names":false,"suffix":""},{"dropping-particle":"","family":"Nur Aini","given":"Shinta","non-dropping-particle":"","parse-names":false,"suffix":""},{"dropping-particle":"","family":"Amalia Putri","given":"Rizki","non-dropping-particle":"","parse-names":false,"suffix":""},{"dropping-particle":"","family":"Dwi Anjani","given":"Soffia","non-dropping-particle":"","parse-names":false,"suffix":""},{"dropping-particle":"","family":"Amilia Putri","given":"Heni","non-dropping-particle":"","parse-names":false,"suffix":""},{"dropping-particle":"","family":"Agustino","given":"Faizal","non-dropping-particle":"","parse-names":false,"suffix":""},{"dropping-particle":"","family":"Dewi","given":"Novita","non-dropping-particle":"","parse-names":false,"suffix":""},{"dropping-particle":"","family":"Maulidini","given":"Cici","non-dropping-particle":"","parse-names":false,"suffix":""},{"dropping-particle":"","family":"Anggrayni","given":"Renny","non-dropping-particle":"","parse-names":false,"suffix":""},{"dropping-particle":"","family":"Meliana J","given":"Marthy A","non-dropping-particle":"","parse-names":false,"suffix":""},{"dropping-particle":"","family":"Rahmawati","given":"Dewi","non-dropping-particle":"","parse-names":false,"suffix":""}],"container-title":"Jurnal Pelayanan dan teknologi Kefarmasian Indonesia","id":"ITEM-1","issue":"01","issued":{"date-parts":[["2024"]]},"page":"10-16","title":"Artikel Review: Regulasi Obat Tradisional yang Berlaku di Indonesia","type":"article-journal","volume":"01"},"uris":["http://www.mendeley.com/documents/?uuid=d9ec2dfc-09ae-3248-8c84-e0cea08f8340"]}],"mendeley":{"formattedCitation":"(Wahidiyatur et al., 2024)","plainTextFormattedCitation":"(Wahidiyatur et al., 2024)","previouslyFormattedCitation":"(Wahidiyatur et al., 2024)"},"properties":{"noteIndex":0},"schema":"https://github.com/citation-style-language/schema/raw/master/csl-citation.json"}</w:instrText>
        </w:r>
        <w:r w:rsidR="00143C60" w:rsidRPr="00380FE9">
          <w:rPr>
            <w:rStyle w:val="Hyperlink"/>
            <w:rFonts w:ascii="Arial Nova" w:eastAsia="Arial" w:hAnsi="Arial Nova" w:cs="Arial"/>
            <w:color w:val="auto"/>
            <w:sz w:val="24"/>
            <w:szCs w:val="24"/>
            <w:u w:val="none"/>
          </w:rPr>
          <w:fldChar w:fldCharType="separate"/>
        </w:r>
        <w:r w:rsidR="00143C60" w:rsidRPr="00380FE9">
          <w:rPr>
            <w:rStyle w:val="Hyperlink"/>
            <w:rFonts w:ascii="Arial Nova" w:eastAsia="Arial" w:hAnsi="Arial Nova" w:cs="Arial"/>
            <w:noProof/>
            <w:color w:val="auto"/>
            <w:sz w:val="24"/>
            <w:szCs w:val="24"/>
            <w:u w:val="none"/>
          </w:rPr>
          <w:t>(Wahidiyatur et al., 2024)</w:t>
        </w:r>
        <w:r w:rsidR="00143C60" w:rsidRPr="00380FE9">
          <w:rPr>
            <w:rStyle w:val="Hyperlink"/>
            <w:rFonts w:ascii="Arial Nova" w:eastAsia="Arial" w:hAnsi="Arial Nova" w:cs="Arial"/>
            <w:color w:val="auto"/>
            <w:sz w:val="24"/>
            <w:szCs w:val="24"/>
            <w:u w:val="none"/>
          </w:rPr>
          <w:fldChar w:fldCharType="end"/>
        </w:r>
      </w:hyperlink>
      <w:r w:rsidRPr="00380FE9">
        <w:rPr>
          <w:rFonts w:ascii="Arial Nova" w:eastAsia="Arial" w:hAnsi="Arial Nova" w:cs="Arial"/>
          <w:sz w:val="24"/>
          <w:szCs w:val="24"/>
        </w:rPr>
        <w:t>.</w:t>
      </w:r>
    </w:p>
    <w:p w14:paraId="6C3D54A5" w14:textId="77777777" w:rsidR="008B0016" w:rsidRPr="001142C0" w:rsidRDefault="00C76877" w:rsidP="008B0016">
      <w:pPr>
        <w:pBdr>
          <w:top w:val="nil"/>
          <w:left w:val="nil"/>
          <w:bottom w:val="nil"/>
          <w:right w:val="nil"/>
          <w:between w:val="nil"/>
        </w:pBdr>
        <w:ind w:firstLine="426"/>
        <w:jc w:val="both"/>
        <w:rPr>
          <w:rFonts w:ascii="Arial Nova" w:eastAsia="Arial" w:hAnsi="Arial Nova" w:cs="Arial"/>
          <w:sz w:val="24"/>
          <w:szCs w:val="24"/>
        </w:rPr>
      </w:pPr>
      <w:r w:rsidRPr="001142C0">
        <w:rPr>
          <w:rFonts w:ascii="Arial Nova" w:eastAsia="Arial" w:hAnsi="Arial Nova" w:cs="Arial"/>
          <w:sz w:val="24"/>
          <w:szCs w:val="24"/>
        </w:rPr>
        <w:t>Permasalahan muncul pada rendahnya literasi kesehatan di masyarakat, termasuk di Kampung Cijugul, Desa Mekarwangi, Kecamatan Tarogong Kaler, Kabupaten Garut. Mayoritas penduduk bermata pencaharian sebagai petani dengan akses terbatas terhadap fasilitas kesehatan. Berdasarkan data BPS (Badan Pusat Statistik) Garut tahun 2025, di Kecamatan Tarogong Kaler hanya terdapat tujuh apotek, sementara di Kampung Cijugul belum tersedia apotek maupun toko obat, sehingga masyarakat harus menempuh jarak lebih jauh untuk memperoleh obat dan layanan farmasi. Kondisi ini memperkuat kesenjangan pengetahuan masyarakat terhadap kehalalan obat.</w:t>
      </w:r>
    </w:p>
    <w:p w14:paraId="0D180BA4" w14:textId="1D269560" w:rsidR="005A4FC0" w:rsidRPr="001142C0" w:rsidRDefault="00C76877" w:rsidP="008B0016">
      <w:pPr>
        <w:pBdr>
          <w:top w:val="nil"/>
          <w:left w:val="nil"/>
          <w:bottom w:val="nil"/>
          <w:right w:val="nil"/>
          <w:between w:val="nil"/>
        </w:pBdr>
        <w:ind w:firstLine="426"/>
        <w:jc w:val="both"/>
        <w:rPr>
          <w:rFonts w:ascii="Arial Nova" w:eastAsia="Arial" w:hAnsi="Arial Nova" w:cs="Arial"/>
          <w:sz w:val="24"/>
          <w:szCs w:val="24"/>
        </w:rPr>
      </w:pPr>
      <w:r w:rsidRPr="001142C0">
        <w:rPr>
          <w:rFonts w:ascii="Arial Nova" w:eastAsia="Arial" w:hAnsi="Arial Nova" w:cs="Arial"/>
          <w:sz w:val="24"/>
          <w:szCs w:val="24"/>
        </w:rPr>
        <w:t>Urgensi penelitian ini terletak pada perlunya program penyuluhan mengenai obat halal untuk meningkatkan literasi kesehatan masyarakat. Keberadaan kelompok ibu-ibu pengajian menjadi wadah strategis karena mereka berperan sebagai pengambil keputusan utama dalam keluarga terkait konsumsi obat dan produk kesehatan. Dengan demikian, penelitian ini bertujuan untuk meningkatkan pengetahuan dan kesadaran masyarakat terhadap obat halal melalui program penyuluhan di Kampung Cijugul serta mengukur efektivitas kelompok pengajian sebagai agen perubahan dalam memperkuat literasi kesehatan masyarakat.</w:t>
      </w:r>
    </w:p>
    <w:p w14:paraId="6E83514A" w14:textId="77777777" w:rsidR="005A4FC0" w:rsidRPr="001142C0" w:rsidRDefault="005A4FC0">
      <w:pPr>
        <w:pBdr>
          <w:top w:val="nil"/>
          <w:left w:val="nil"/>
          <w:bottom w:val="nil"/>
          <w:right w:val="nil"/>
          <w:between w:val="nil"/>
        </w:pBdr>
        <w:jc w:val="both"/>
        <w:rPr>
          <w:rFonts w:ascii="Arial Nova" w:eastAsia="Arial" w:hAnsi="Arial Nova" w:cs="Arial"/>
          <w:sz w:val="24"/>
          <w:szCs w:val="24"/>
        </w:rPr>
      </w:pPr>
    </w:p>
    <w:p w14:paraId="3ED2855C" w14:textId="77777777" w:rsidR="005A4FC0" w:rsidRPr="001142C0" w:rsidRDefault="00C76877">
      <w:pPr>
        <w:numPr>
          <w:ilvl w:val="0"/>
          <w:numId w:val="1"/>
        </w:numPr>
        <w:pBdr>
          <w:top w:val="nil"/>
          <w:left w:val="nil"/>
          <w:bottom w:val="nil"/>
          <w:right w:val="nil"/>
          <w:between w:val="nil"/>
        </w:pBdr>
        <w:tabs>
          <w:tab w:val="left" w:pos="426"/>
        </w:tabs>
        <w:ind w:left="426" w:hanging="426"/>
        <w:jc w:val="both"/>
        <w:rPr>
          <w:rFonts w:ascii="Arial Nova" w:eastAsia="Arial" w:hAnsi="Arial Nova" w:cs="Arial"/>
          <w:b/>
          <w:bCs/>
          <w:sz w:val="24"/>
          <w:szCs w:val="24"/>
        </w:rPr>
      </w:pPr>
      <w:r w:rsidRPr="001142C0">
        <w:rPr>
          <w:rFonts w:ascii="Arial Nova" w:eastAsia="Arial" w:hAnsi="Arial Nova" w:cs="Arial"/>
          <w:b/>
          <w:bCs/>
          <w:sz w:val="24"/>
          <w:szCs w:val="24"/>
        </w:rPr>
        <w:t>METODE</w:t>
      </w:r>
    </w:p>
    <w:p w14:paraId="2D52EF78" w14:textId="77777777" w:rsidR="005A4FC0" w:rsidRPr="001142C0" w:rsidRDefault="005A4FC0">
      <w:pPr>
        <w:ind w:firstLine="426"/>
        <w:jc w:val="both"/>
        <w:rPr>
          <w:rFonts w:ascii="Arial Nova" w:eastAsia="Arial" w:hAnsi="Arial Nova" w:cs="Arial"/>
          <w:sz w:val="24"/>
          <w:szCs w:val="24"/>
        </w:rPr>
      </w:pPr>
    </w:p>
    <w:p w14:paraId="61B98849" w14:textId="77777777" w:rsidR="005A4FC0" w:rsidRPr="001142C0" w:rsidRDefault="00C76877" w:rsidP="008B0016">
      <w:pPr>
        <w:pBdr>
          <w:top w:val="nil"/>
          <w:left w:val="nil"/>
          <w:bottom w:val="nil"/>
          <w:right w:val="nil"/>
          <w:between w:val="nil"/>
        </w:pBdr>
        <w:ind w:firstLine="426"/>
        <w:jc w:val="both"/>
        <w:rPr>
          <w:rFonts w:ascii="Arial Nova" w:eastAsia="Palatino Linotype" w:hAnsi="Arial Nova" w:cs="Palatino Linotype"/>
          <w:sz w:val="24"/>
          <w:szCs w:val="24"/>
        </w:rPr>
      </w:pPr>
      <w:r w:rsidRPr="001142C0">
        <w:rPr>
          <w:rFonts w:ascii="Arial Nova" w:eastAsia="Palatino Linotype" w:hAnsi="Arial Nova" w:cs="Palatino Linotype"/>
          <w:sz w:val="24"/>
          <w:szCs w:val="24"/>
        </w:rPr>
        <w:t>Penyuluhan ini menggunakan metode observasional dengan pendekatan kuantitatif. Program dilaksanakan melalui beberapa tahapan sebagaimana ditunjukkan pada Gambar 1.</w:t>
      </w:r>
    </w:p>
    <w:p w14:paraId="1B85C47A" w14:textId="77777777" w:rsidR="00473614" w:rsidRDefault="00473614">
      <w:pPr>
        <w:pBdr>
          <w:top w:val="nil"/>
          <w:left w:val="nil"/>
          <w:bottom w:val="nil"/>
          <w:right w:val="nil"/>
          <w:between w:val="nil"/>
        </w:pBdr>
        <w:rPr>
          <w:rFonts w:ascii="Arial Nova" w:eastAsia="Palatino Linotype" w:hAnsi="Arial Nova" w:cs="Palatino Linotype"/>
          <w:b/>
          <w:bCs/>
          <w:sz w:val="24"/>
          <w:szCs w:val="24"/>
        </w:rPr>
        <w:sectPr w:rsidR="00473614">
          <w:footerReference w:type="default" r:id="rId23"/>
          <w:type w:val="continuous"/>
          <w:pgSz w:w="11909" w:h="16834"/>
          <w:pgMar w:top="1418" w:right="1134" w:bottom="1134" w:left="1134" w:header="720" w:footer="720" w:gutter="0"/>
          <w:cols w:space="720"/>
        </w:sectPr>
      </w:pPr>
    </w:p>
    <w:p w14:paraId="25AE537B" w14:textId="68E7B132" w:rsidR="005A4FC0" w:rsidRPr="001142C0" w:rsidRDefault="00C76877">
      <w:pPr>
        <w:pBdr>
          <w:top w:val="nil"/>
          <w:left w:val="nil"/>
          <w:bottom w:val="nil"/>
          <w:right w:val="nil"/>
          <w:between w:val="nil"/>
        </w:pBdr>
        <w:rPr>
          <w:rFonts w:ascii="Arial Nova" w:eastAsia="Palatino Linotype" w:hAnsi="Arial Nova" w:cs="Palatino Linotype"/>
          <w:b/>
          <w:bCs/>
          <w:sz w:val="24"/>
          <w:szCs w:val="24"/>
        </w:rPr>
      </w:pPr>
      <w:r w:rsidRPr="001142C0">
        <w:rPr>
          <w:rFonts w:ascii="Arial Nova" w:eastAsia="Palatino Linotype" w:hAnsi="Arial Nova" w:cs="Palatino Linotype"/>
          <w:b/>
          <w:bCs/>
          <w:noProof/>
          <w:sz w:val="24"/>
          <w:szCs w:val="24"/>
          <w:lang w:val="en-US" w:eastAsia="en-US"/>
        </w:rPr>
        <w:drawing>
          <wp:inline distT="0" distB="0" distL="0" distR="0" wp14:anchorId="0A575412" wp14:editId="79591684">
            <wp:extent cx="4927110" cy="1256306"/>
            <wp:effectExtent l="0" t="0" r="6985" b="127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4"/>
                    <a:srcRect l="2927" t="11256" r="6346" b="19806"/>
                    <a:stretch/>
                  </pic:blipFill>
                  <pic:spPr bwMode="auto">
                    <a:xfrm>
                      <a:off x="0" y="0"/>
                      <a:ext cx="4942801" cy="1260307"/>
                    </a:xfrm>
                    <a:prstGeom prst="rect">
                      <a:avLst/>
                    </a:prstGeom>
                    <a:ln>
                      <a:noFill/>
                    </a:ln>
                    <a:extLst>
                      <a:ext uri="{53640926-AAD7-44D8-BBD7-CCE9431645EC}">
                        <a14:shadowObscured xmlns:a14="http://schemas.microsoft.com/office/drawing/2010/main"/>
                      </a:ext>
                    </a:extLst>
                  </pic:spPr>
                </pic:pic>
              </a:graphicData>
            </a:graphic>
          </wp:inline>
        </w:drawing>
      </w:r>
    </w:p>
    <w:p w14:paraId="2BC54BEF" w14:textId="77777777" w:rsidR="005A4FC0" w:rsidRPr="001142C0" w:rsidRDefault="00C76877">
      <w:pPr>
        <w:pBdr>
          <w:top w:val="nil"/>
          <w:left w:val="nil"/>
          <w:bottom w:val="nil"/>
          <w:right w:val="nil"/>
          <w:between w:val="nil"/>
        </w:pBdr>
        <w:rPr>
          <w:rFonts w:ascii="Arial Nova" w:eastAsia="Palatino Linotype" w:hAnsi="Arial Nova" w:cs="Palatino Linotype"/>
          <w:b/>
          <w:bCs/>
          <w:sz w:val="24"/>
          <w:szCs w:val="24"/>
        </w:rPr>
      </w:pPr>
      <w:r w:rsidRPr="001142C0">
        <w:rPr>
          <w:rFonts w:ascii="Arial Nova" w:eastAsia="Palatino Linotype" w:hAnsi="Arial Nova" w:cs="Palatino Linotype"/>
          <w:b/>
          <w:bCs/>
          <w:sz w:val="22"/>
          <w:szCs w:val="22"/>
        </w:rPr>
        <w:t xml:space="preserve">Gambar 1. </w:t>
      </w:r>
      <w:r w:rsidRPr="001142C0">
        <w:rPr>
          <w:rFonts w:ascii="Arial Nova" w:eastAsia="Palatino Linotype" w:hAnsi="Arial Nova" w:cs="Palatino Linotype"/>
          <w:sz w:val="22"/>
          <w:szCs w:val="22"/>
        </w:rPr>
        <w:t>Rangkaian Kegiatan Penyuluhan Obat Halal</w:t>
      </w:r>
    </w:p>
    <w:p w14:paraId="4AFED6C8" w14:textId="77777777" w:rsidR="005A4FC0" w:rsidRPr="001142C0" w:rsidRDefault="00C76877">
      <w:pPr>
        <w:pBdr>
          <w:top w:val="nil"/>
          <w:left w:val="nil"/>
          <w:bottom w:val="nil"/>
          <w:right w:val="nil"/>
          <w:between w:val="nil"/>
        </w:pBdr>
        <w:jc w:val="both"/>
        <w:rPr>
          <w:rFonts w:ascii="Arial Nova" w:eastAsia="Palatino Linotype" w:hAnsi="Arial Nova" w:cs="Palatino Linotype"/>
          <w:sz w:val="24"/>
          <w:szCs w:val="24"/>
        </w:rPr>
      </w:pPr>
      <w:r w:rsidRPr="001142C0">
        <w:rPr>
          <w:rFonts w:ascii="Arial Nova" w:eastAsia="Palatino Linotype" w:hAnsi="Arial Nova" w:cs="Palatino Linotype"/>
          <w:sz w:val="24"/>
          <w:szCs w:val="24"/>
        </w:rPr>
        <w:t xml:space="preserve"> </w:t>
      </w:r>
    </w:p>
    <w:p w14:paraId="2D829105" w14:textId="77777777" w:rsidR="005A4FC0" w:rsidRPr="001142C0" w:rsidRDefault="00C76877" w:rsidP="008B0016">
      <w:pPr>
        <w:pBdr>
          <w:top w:val="nil"/>
          <w:left w:val="nil"/>
          <w:bottom w:val="nil"/>
          <w:right w:val="nil"/>
          <w:between w:val="nil"/>
        </w:pBdr>
        <w:ind w:firstLine="426"/>
        <w:jc w:val="both"/>
        <w:rPr>
          <w:rFonts w:ascii="Arial Nova" w:eastAsia="Palatino Linotype" w:hAnsi="Arial Nova" w:cs="Palatino Linotype"/>
          <w:sz w:val="24"/>
          <w:szCs w:val="24"/>
        </w:rPr>
      </w:pPr>
      <w:r w:rsidRPr="001142C0">
        <w:rPr>
          <w:rFonts w:ascii="Arial Nova" w:eastAsia="Palatino Linotype" w:hAnsi="Arial Nova" w:cs="Palatino Linotype"/>
          <w:sz w:val="24"/>
          <w:szCs w:val="24"/>
        </w:rPr>
        <w:t xml:space="preserve">Rangkaian kegiatan penyuluhan mengenai obat halal diawali dengan survei lokasi pada masyarakat sasaran, yaitu ibu-ibu pengajian. Tema penyuluhan obat halal dipilih karena adanya kesenjangan pengetahuan masyarakat terhadap konsep kehalalan obat. Penelitian ini menggunakan </w:t>
      </w:r>
      <w:r w:rsidRPr="001142C0">
        <w:rPr>
          <w:rFonts w:ascii="Arial Nova" w:eastAsia="Palatino Linotype" w:hAnsi="Arial Nova" w:cs="Palatino Linotype"/>
          <w:i/>
          <w:iCs/>
          <w:sz w:val="24"/>
          <w:szCs w:val="24"/>
        </w:rPr>
        <w:t>purposive sampling</w:t>
      </w:r>
      <w:r w:rsidRPr="001142C0">
        <w:rPr>
          <w:rFonts w:ascii="Arial Nova" w:eastAsia="Palatino Linotype" w:hAnsi="Arial Nova" w:cs="Palatino Linotype"/>
          <w:sz w:val="24"/>
          <w:szCs w:val="24"/>
        </w:rPr>
        <w:t xml:space="preserve"> sebanyak 30 orang peserta. Pemilihan sampel didasarkan pada peran mereka sebagai pengambil keputusan utama dalam keluarga terkait konsumsi obat. Instrumen penelitian berupa kuesioner singkat yang disusun untuk mengukur pengetahuan awal mengenai definisi obat halal, ciri-ciri obat halal, dan pemahaman terhadap logo halal. Selanjutnya, materi penyuluhan disampaikan secara lisan dan juga menggunakan media </w:t>
      </w:r>
      <w:r w:rsidRPr="001142C0">
        <w:rPr>
          <w:rFonts w:ascii="Arial Nova" w:eastAsia="Palatino Linotype" w:hAnsi="Arial Nova" w:cs="Palatino Linotype"/>
          <w:i/>
          <w:iCs/>
          <w:sz w:val="24"/>
          <w:szCs w:val="24"/>
        </w:rPr>
        <w:t>leaflet</w:t>
      </w:r>
      <w:r w:rsidRPr="001142C0">
        <w:rPr>
          <w:rFonts w:ascii="Arial Nova" w:eastAsia="Palatino Linotype" w:hAnsi="Arial Nova" w:cs="Palatino Linotype"/>
          <w:sz w:val="24"/>
          <w:szCs w:val="24"/>
        </w:rPr>
        <w:t xml:space="preserve"> agar informasi dapat lebih mudah dipahami dan diterapkan dalam kehidupan sehari-hari.</w:t>
      </w:r>
    </w:p>
    <w:p w14:paraId="050248E8" w14:textId="77777777" w:rsidR="005A4FC0" w:rsidRPr="001142C0" w:rsidRDefault="005A4FC0">
      <w:pPr>
        <w:ind w:firstLine="426"/>
        <w:jc w:val="both"/>
        <w:rPr>
          <w:rFonts w:ascii="Arial Nova" w:eastAsia="Arial" w:hAnsi="Arial Nova" w:cs="Arial"/>
          <w:sz w:val="24"/>
          <w:szCs w:val="24"/>
        </w:rPr>
      </w:pPr>
    </w:p>
    <w:p w14:paraId="43B3A8D3" w14:textId="77777777" w:rsidR="005A4FC0" w:rsidRPr="001142C0" w:rsidRDefault="00C76877">
      <w:pPr>
        <w:numPr>
          <w:ilvl w:val="0"/>
          <w:numId w:val="1"/>
        </w:numPr>
        <w:pBdr>
          <w:top w:val="nil"/>
          <w:left w:val="nil"/>
          <w:bottom w:val="nil"/>
          <w:right w:val="nil"/>
          <w:between w:val="nil"/>
        </w:pBdr>
        <w:spacing w:after="200" w:line="276" w:lineRule="auto"/>
        <w:ind w:left="284" w:hanging="284"/>
        <w:jc w:val="both"/>
        <w:rPr>
          <w:rFonts w:ascii="Arial Nova" w:eastAsia="Arial" w:hAnsi="Arial Nova" w:cs="Arial"/>
          <w:b/>
          <w:bCs/>
          <w:sz w:val="24"/>
          <w:szCs w:val="24"/>
        </w:rPr>
      </w:pPr>
      <w:r w:rsidRPr="001142C0">
        <w:rPr>
          <w:rFonts w:ascii="Arial Nova" w:eastAsia="Arial" w:hAnsi="Arial Nova" w:cs="Arial"/>
          <w:b/>
          <w:bCs/>
          <w:sz w:val="24"/>
          <w:szCs w:val="24"/>
        </w:rPr>
        <w:t xml:space="preserve">  HASIL DAN PEMBAHASAN</w:t>
      </w:r>
    </w:p>
    <w:p w14:paraId="3A58A619" w14:textId="77777777" w:rsidR="008B0016" w:rsidRPr="001142C0" w:rsidRDefault="00C76877" w:rsidP="008B0016">
      <w:pPr>
        <w:pBdr>
          <w:top w:val="nil"/>
          <w:left w:val="nil"/>
          <w:bottom w:val="nil"/>
          <w:right w:val="nil"/>
          <w:between w:val="nil"/>
        </w:pBdr>
        <w:ind w:firstLine="426"/>
        <w:jc w:val="both"/>
        <w:rPr>
          <w:rFonts w:ascii="Arial Nova" w:eastAsia="Arial" w:hAnsi="Arial Nova" w:cs="Arial"/>
          <w:sz w:val="24"/>
          <w:szCs w:val="24"/>
        </w:rPr>
      </w:pPr>
      <w:r w:rsidRPr="001142C0">
        <w:rPr>
          <w:rFonts w:ascii="Arial Nova" w:eastAsia="Arial" w:hAnsi="Arial Nova" w:cs="Arial"/>
          <w:sz w:val="24"/>
          <w:szCs w:val="24"/>
        </w:rPr>
        <w:t>Pelaksanaan PKM di Kampung Cijugul, Desa Mekarwangi, diikuti oleh 30 dari 40 ibu-ibu pengajian. Tingkat partisipasi mencapai 75% menegaskan antusiasme tinggi sekaligus kepedulian terhadap isu kehalalan obat. Ibu-ibu pengajian merupakan kanal strategis dalam penyebaran informasi kesehatan, mengingat peran ibu sebagai pengambil keputusan utama dalam keluarga. Diskusi interaktif memperlihatkan partisipasi aktif melalui pertanyaan dan berbagi pengalaman, menandakan adanya proses internalisasi pengetahuan. Dengan demikian, keterlibatan ibu-ibu sebagai tonggak keluarga terbukti memperkuat literasi kesehatan berbasis komunitas dan mendukung tujuan PKM dalam meningkatkan kesadaran kolektif mengenai pemilihan obat halal.</w:t>
      </w:r>
    </w:p>
    <w:p w14:paraId="35D542F7" w14:textId="4CFEA083" w:rsidR="005A4FC0" w:rsidRPr="001142C0" w:rsidRDefault="00C76877" w:rsidP="008B0016">
      <w:pPr>
        <w:pBdr>
          <w:top w:val="nil"/>
          <w:left w:val="nil"/>
          <w:bottom w:val="nil"/>
          <w:right w:val="nil"/>
          <w:between w:val="nil"/>
        </w:pBdr>
        <w:ind w:firstLine="426"/>
        <w:jc w:val="both"/>
        <w:rPr>
          <w:rFonts w:ascii="Arial Nova" w:eastAsia="Arial" w:hAnsi="Arial Nova" w:cs="Arial"/>
          <w:sz w:val="24"/>
          <w:szCs w:val="24"/>
        </w:rPr>
      </w:pPr>
      <w:r w:rsidRPr="001142C0">
        <w:rPr>
          <w:rFonts w:ascii="Arial Nova" w:eastAsia="Arial" w:hAnsi="Arial Nova" w:cs="Arial"/>
          <w:sz w:val="24"/>
          <w:szCs w:val="24"/>
        </w:rPr>
        <w:t>Indonesia memiliki potensi strategis untuk menjadi pusat industri halal dunia karena jumlah populasi Muslim yang besar dan tingginya konsumsi produk halal. Namun, peluang tersebut belum optimal akibat rendahnya kesadaran pelaku usaha, lemahnya perlindungan konsumen, serta kompleksitas rantai pasok global yang masih menjadi hambatan utama</w:t>
      </w:r>
      <w:r w:rsidR="00143C60">
        <w:rPr>
          <w:rFonts w:ascii="Arial Nova" w:eastAsia="Arial" w:hAnsi="Arial Nova" w:cs="Arial"/>
          <w:sz w:val="24"/>
          <w:szCs w:val="24"/>
        </w:rPr>
        <w:t xml:space="preserve"> </w:t>
      </w:r>
      <w:hyperlink w:anchor="Warto" w:history="1">
        <w:r w:rsidR="00143C60" w:rsidRPr="00380FE9">
          <w:rPr>
            <w:rStyle w:val="Hyperlink"/>
            <w:rFonts w:ascii="Arial Nova" w:eastAsia="Arial" w:hAnsi="Arial Nova" w:cs="Arial"/>
            <w:color w:val="auto"/>
            <w:sz w:val="24"/>
            <w:szCs w:val="24"/>
            <w:u w:val="none"/>
          </w:rPr>
          <w:fldChar w:fldCharType="begin" w:fldLock="1"/>
        </w:r>
        <w:r w:rsidR="00143C60" w:rsidRPr="00380FE9">
          <w:rPr>
            <w:rStyle w:val="Hyperlink"/>
            <w:rFonts w:ascii="Arial Nova" w:eastAsia="Arial" w:hAnsi="Arial Nova" w:cs="Arial"/>
            <w:color w:val="auto"/>
            <w:sz w:val="24"/>
            <w:szCs w:val="24"/>
            <w:u w:val="none"/>
          </w:rPr>
          <w:instrText>ADDIN CSL_CITATION {"citationItems":[{"id":"ITEM-1","itemData":{"DOI":"10.30603/au.v20i1.1170","ISSN":"1412-0534","abstract":"Studi ini bertujuan untuk mengkaji peluang bisnis halal, tantangan dan solusinya di Indonesia. Penelitian ini menggunakan metode deskriptif kualitatif dengan menggunakan data dokumentasi berupa buku, laporan lembaga resmi seperti BPS, OJK, BI, Kemendag, Kemenpan dan jurnal ilmiah. Hasil kajian dari beberapa literatur didapati bahwa Indonesia sebenarnya memiliki peluang yang sangat besar untuk menjadi pusat bisnis halal dunia. Hal ini terlihat dari beberapa indikator diantara tingginya tingkat populasi umat Islam dan tingginya tingkat konsumsi. Namun sikap pelaku usaha yang cenderung tidak aware, lebih mengejar keuntungan, minimnya perhatian pemerintah, lebih dilindunginya pelaku usaha dari pada konsumen, rendahnya respons masyarakat terhadap produk halal merupakan hambatan besar. Solusi utamanya dengan percepatan penerapan UU JPH sebagai payung hukum, kesadaran para pengusaha dan pelaku bisnis, dengan menjadikan sertifikasi halal sebagai bagian pelayanan prima, dan dukungan masyarakat.","author":[{"dropping-particle":"","family":"Warto","given":"Warto","non-dropping-particle":"","parse-names":false,"suffix":""},{"dropping-particle":"","family":"Arif","given":"Zainal","non-dropping-particle":"","parse-names":false,"suffix":""}],"container-title":"Al-Ulum","id":"ITEM-1","issue":"1","issued":{"date-parts":[["2020"]]},"page":"274-294","title":"Bisnis Produk Halal antara Peluang dan Tantangan, Problematika dan Solusinya","type":"article-journal","volume":"20"},"uris":["http://www.mendeley.com/documents/?uuid=5d3b8a07-fe82-33ac-9b7f-032322d5eb74"]}],"mendeley":{"formattedCitation":"(Warto &amp; Arif, 2020)","plainTextFormattedCitation":"(Warto &amp; Arif, 2020)","previouslyFormattedCitation":"(Warto &amp; Arif, 2020)"},"properties":{"noteIndex":0},"schema":"https://github.com/citation-style-language/schema/raw/master/csl-citation.json"}</w:instrText>
        </w:r>
        <w:r w:rsidR="00143C60" w:rsidRPr="00380FE9">
          <w:rPr>
            <w:rStyle w:val="Hyperlink"/>
            <w:rFonts w:ascii="Arial Nova" w:eastAsia="Arial" w:hAnsi="Arial Nova" w:cs="Arial"/>
            <w:color w:val="auto"/>
            <w:sz w:val="24"/>
            <w:szCs w:val="24"/>
            <w:u w:val="none"/>
          </w:rPr>
          <w:fldChar w:fldCharType="separate"/>
        </w:r>
        <w:r w:rsidR="00143C60" w:rsidRPr="00380FE9">
          <w:rPr>
            <w:rStyle w:val="Hyperlink"/>
            <w:rFonts w:ascii="Arial Nova" w:eastAsia="Arial" w:hAnsi="Arial Nova" w:cs="Arial"/>
            <w:noProof/>
            <w:color w:val="auto"/>
            <w:sz w:val="24"/>
            <w:szCs w:val="24"/>
            <w:u w:val="none"/>
          </w:rPr>
          <w:t>(Warto &amp; Arif, 2020)</w:t>
        </w:r>
        <w:r w:rsidR="00143C60" w:rsidRPr="00380FE9">
          <w:rPr>
            <w:rStyle w:val="Hyperlink"/>
            <w:rFonts w:ascii="Arial Nova" w:eastAsia="Arial" w:hAnsi="Arial Nova" w:cs="Arial"/>
            <w:color w:val="auto"/>
            <w:sz w:val="24"/>
            <w:szCs w:val="24"/>
            <w:u w:val="none"/>
          </w:rPr>
          <w:fldChar w:fldCharType="end"/>
        </w:r>
      </w:hyperlink>
      <w:r w:rsidRPr="001142C0">
        <w:rPr>
          <w:rFonts w:ascii="Arial Nova" w:eastAsia="Arial" w:hAnsi="Arial Nova" w:cs="Arial"/>
          <w:sz w:val="24"/>
          <w:szCs w:val="24"/>
        </w:rPr>
        <w:t>. Kondisi ini menegaskan adanya kesenjangan antara besarnya potensi pasar halal dengan keterbatasan sistem pendukung. Intervensi berupa penyuluhan obat halal menjadi relevan, khususnya bagi ibu-ibu pengajian yang berperan sebagai pengambil keputusan keluarga. Pendekatan ini tidak sekadar mentransfer informasi, tetapi membangun literasi kesehatan berbasis komunitas dan kesadaran kritis terhadap pemilihan obat halal.  Berikut ini disajikan hasil kuesioner yang telah dilakukan.</w:t>
      </w:r>
    </w:p>
    <w:p w14:paraId="25515551" w14:textId="77777777" w:rsidR="008B0016" w:rsidRPr="001142C0" w:rsidRDefault="008B0016" w:rsidP="00910227">
      <w:pPr>
        <w:pBdr>
          <w:top w:val="nil"/>
          <w:left w:val="nil"/>
          <w:bottom w:val="nil"/>
          <w:right w:val="nil"/>
          <w:between w:val="nil"/>
        </w:pBdr>
        <w:jc w:val="both"/>
        <w:rPr>
          <w:rFonts w:ascii="Arial Nova" w:eastAsia="Arial" w:hAnsi="Arial Nova" w:cs="Arial"/>
          <w:sz w:val="24"/>
          <w:szCs w:val="24"/>
        </w:rPr>
      </w:pPr>
    </w:p>
    <w:p w14:paraId="4B1ACFFF" w14:textId="77777777" w:rsidR="00910227" w:rsidRDefault="00910227">
      <w:pPr>
        <w:rPr>
          <w:rFonts w:ascii="Arial Nova" w:eastAsia="Arial" w:hAnsi="Arial Nova" w:cs="Arial"/>
          <w:b/>
          <w:bCs/>
          <w:sz w:val="24"/>
          <w:szCs w:val="24"/>
        </w:rPr>
      </w:pPr>
      <w:r>
        <w:rPr>
          <w:rFonts w:ascii="Arial Nova" w:eastAsia="Arial" w:hAnsi="Arial Nova" w:cs="Arial"/>
          <w:b/>
          <w:bCs/>
          <w:sz w:val="24"/>
          <w:szCs w:val="24"/>
        </w:rPr>
        <w:br w:type="page"/>
      </w:r>
    </w:p>
    <w:p w14:paraId="28D991BD" w14:textId="77777777" w:rsidR="00473614" w:rsidRDefault="00473614" w:rsidP="00910227">
      <w:pPr>
        <w:pBdr>
          <w:top w:val="nil"/>
          <w:left w:val="nil"/>
          <w:bottom w:val="nil"/>
          <w:right w:val="nil"/>
          <w:between w:val="nil"/>
        </w:pBdr>
        <w:spacing w:line="276" w:lineRule="auto"/>
        <w:jc w:val="both"/>
        <w:rPr>
          <w:rFonts w:ascii="Arial Nova" w:eastAsia="Arial" w:hAnsi="Arial Nova" w:cs="Arial"/>
          <w:b/>
          <w:bCs/>
          <w:sz w:val="24"/>
          <w:szCs w:val="24"/>
        </w:rPr>
        <w:sectPr w:rsidR="00473614" w:rsidSect="00473614">
          <w:footerReference w:type="even" r:id="rId25"/>
          <w:pgSz w:w="11909" w:h="16834"/>
          <w:pgMar w:top="1418" w:right="1134" w:bottom="1134" w:left="1134" w:header="720" w:footer="720" w:gutter="0"/>
          <w:cols w:space="720"/>
        </w:sectPr>
      </w:pPr>
    </w:p>
    <w:p w14:paraId="568695BA" w14:textId="75CF32B7" w:rsidR="005A4FC0" w:rsidRPr="001142C0" w:rsidRDefault="00C76877" w:rsidP="00910227">
      <w:pPr>
        <w:pBdr>
          <w:top w:val="nil"/>
          <w:left w:val="nil"/>
          <w:bottom w:val="nil"/>
          <w:right w:val="nil"/>
          <w:between w:val="nil"/>
        </w:pBdr>
        <w:spacing w:line="276" w:lineRule="auto"/>
        <w:jc w:val="both"/>
        <w:rPr>
          <w:rFonts w:ascii="Arial Nova" w:eastAsia="Arial" w:hAnsi="Arial Nova" w:cs="Arial"/>
          <w:b/>
          <w:bCs/>
          <w:sz w:val="24"/>
          <w:szCs w:val="24"/>
        </w:rPr>
      </w:pPr>
      <w:r w:rsidRPr="001142C0">
        <w:rPr>
          <w:rFonts w:ascii="Arial Nova" w:eastAsia="Arial" w:hAnsi="Arial Nova" w:cs="Arial"/>
          <w:b/>
          <w:bCs/>
          <w:sz w:val="24"/>
          <w:szCs w:val="24"/>
        </w:rPr>
        <w:t>Penyuluhan mengenai definisi obat halal</w:t>
      </w:r>
    </w:p>
    <w:p w14:paraId="7EC414E0" w14:textId="77777777" w:rsidR="005A4FC0" w:rsidRPr="001142C0" w:rsidRDefault="00C76877">
      <w:pPr>
        <w:pBdr>
          <w:top w:val="nil"/>
          <w:left w:val="nil"/>
          <w:bottom w:val="nil"/>
          <w:right w:val="nil"/>
          <w:between w:val="nil"/>
        </w:pBdr>
        <w:spacing w:after="200" w:line="276" w:lineRule="auto"/>
        <w:ind w:left="284"/>
        <w:rPr>
          <w:rFonts w:ascii="Arial Nova" w:eastAsia="Arial" w:hAnsi="Arial Nova" w:cs="Arial"/>
          <w:b/>
          <w:bCs/>
          <w:sz w:val="24"/>
          <w:szCs w:val="24"/>
        </w:rPr>
      </w:pPr>
      <w:r w:rsidRPr="001142C0">
        <w:rPr>
          <w:rFonts w:ascii="Arial Nova" w:eastAsia="Arial" w:hAnsi="Arial Nova" w:cs="Arial"/>
          <w:b/>
          <w:bCs/>
          <w:noProof/>
          <w:sz w:val="24"/>
          <w:szCs w:val="24"/>
          <w:lang w:val="en-US" w:eastAsia="en-US"/>
        </w:rPr>
        <w:drawing>
          <wp:inline distT="0" distB="0" distL="0" distR="0" wp14:anchorId="7CF6C644" wp14:editId="546BFAF4">
            <wp:extent cx="2159209" cy="2250219"/>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2162251" cy="2253390"/>
                    </a:xfrm>
                    <a:prstGeom prst="rect">
                      <a:avLst/>
                    </a:prstGeom>
                    <a:ln/>
                  </pic:spPr>
                </pic:pic>
              </a:graphicData>
            </a:graphic>
          </wp:inline>
        </w:drawing>
      </w:r>
    </w:p>
    <w:p w14:paraId="1D288B0C" w14:textId="170D8114" w:rsidR="005A4FC0" w:rsidRPr="001142C0" w:rsidRDefault="00C76877">
      <w:pPr>
        <w:pBdr>
          <w:top w:val="nil"/>
          <w:left w:val="nil"/>
          <w:bottom w:val="nil"/>
          <w:right w:val="nil"/>
          <w:between w:val="nil"/>
        </w:pBdr>
        <w:ind w:firstLine="284"/>
        <w:rPr>
          <w:rFonts w:ascii="Arial Nova" w:eastAsia="Arial" w:hAnsi="Arial Nova" w:cs="Arial"/>
          <w:sz w:val="22"/>
          <w:szCs w:val="22"/>
        </w:rPr>
      </w:pPr>
      <w:r w:rsidRPr="001142C0">
        <w:rPr>
          <w:rFonts w:ascii="Arial Nova" w:eastAsia="Arial" w:hAnsi="Arial Nova" w:cs="Arial"/>
          <w:b/>
          <w:bCs/>
          <w:sz w:val="22"/>
          <w:szCs w:val="22"/>
        </w:rPr>
        <w:t>Gambar 2.</w:t>
      </w:r>
      <w:r w:rsidRPr="001142C0">
        <w:rPr>
          <w:rFonts w:ascii="Arial Nova" w:eastAsia="Arial" w:hAnsi="Arial Nova" w:cs="Arial"/>
          <w:sz w:val="22"/>
          <w:szCs w:val="22"/>
        </w:rPr>
        <w:t xml:space="preserve"> Persentase </w:t>
      </w:r>
      <w:r w:rsidR="00B32942">
        <w:rPr>
          <w:rFonts w:ascii="Arial Nova" w:eastAsia="Arial" w:hAnsi="Arial Nova" w:cs="Arial"/>
          <w:sz w:val="22"/>
          <w:szCs w:val="22"/>
        </w:rPr>
        <w:t>Pengetahuan Peserta M</w:t>
      </w:r>
      <w:r w:rsidR="008B0016" w:rsidRPr="001142C0">
        <w:rPr>
          <w:rFonts w:ascii="Arial Nova" w:eastAsia="Arial" w:hAnsi="Arial Nova" w:cs="Arial"/>
          <w:sz w:val="22"/>
          <w:szCs w:val="22"/>
        </w:rPr>
        <w:t>engenai Definisi Obat Halal</w:t>
      </w:r>
    </w:p>
    <w:p w14:paraId="20B0730B" w14:textId="77777777" w:rsidR="005A4FC0" w:rsidRPr="001142C0" w:rsidRDefault="005A4FC0">
      <w:pPr>
        <w:pBdr>
          <w:top w:val="nil"/>
          <w:left w:val="nil"/>
          <w:bottom w:val="nil"/>
          <w:right w:val="nil"/>
          <w:between w:val="nil"/>
        </w:pBdr>
        <w:ind w:firstLine="284"/>
        <w:jc w:val="both"/>
        <w:rPr>
          <w:rFonts w:ascii="Arial Nova" w:eastAsia="Arial" w:hAnsi="Arial Nova" w:cs="Arial"/>
          <w:sz w:val="24"/>
          <w:szCs w:val="24"/>
        </w:rPr>
      </w:pPr>
    </w:p>
    <w:p w14:paraId="3DAFFE89" w14:textId="77777777" w:rsidR="008B0016" w:rsidRPr="001142C0" w:rsidRDefault="00C76877" w:rsidP="008B0016">
      <w:pPr>
        <w:pBdr>
          <w:top w:val="nil"/>
          <w:left w:val="nil"/>
          <w:bottom w:val="nil"/>
          <w:right w:val="nil"/>
          <w:between w:val="nil"/>
        </w:pBdr>
        <w:ind w:firstLine="426"/>
        <w:jc w:val="both"/>
        <w:rPr>
          <w:rFonts w:ascii="Arial Nova" w:eastAsia="Arial" w:hAnsi="Arial Nova" w:cs="Arial"/>
          <w:sz w:val="24"/>
          <w:szCs w:val="24"/>
        </w:rPr>
      </w:pPr>
      <w:r w:rsidRPr="001142C0">
        <w:rPr>
          <w:rFonts w:ascii="Arial Nova" w:eastAsia="Arial" w:hAnsi="Arial Nova" w:cs="Arial"/>
          <w:sz w:val="24"/>
          <w:szCs w:val="24"/>
        </w:rPr>
        <w:t xml:space="preserve">Survei menunjukkan bahwa hanya 33,3% responden memahami definisi obat halal, sedangkan 66,7% lainnya belum mengetahuinya. Rendahnya pemahaman ini sejalan dengan temuan bahwa mayoritas responden 60% juga belum mengenali ciri-ciri obat halal secara lengkap, baik dari aspek bahan baku, proses produksi, maupun penandaan resmi. Sebaliknya, tingkat pengenalan terhadap logo halal relatif lebih tinggi, dengan 73,3% responden sudah mengenalnya. Hasil ini memperlihatkan adanya kesenjangan pengetahuan,  masyarakat lebih mudah mengidentifikasi simbol visual berupa logo halal dibandingkan memahami konsep dan karakteristik obat halal secara menyeluruh. </w:t>
      </w:r>
    </w:p>
    <w:p w14:paraId="4F4F98DC" w14:textId="36DFAB00" w:rsidR="005A4FC0" w:rsidRPr="001142C0" w:rsidRDefault="00C76877" w:rsidP="008B0016">
      <w:pPr>
        <w:pBdr>
          <w:top w:val="nil"/>
          <w:left w:val="nil"/>
          <w:bottom w:val="nil"/>
          <w:right w:val="nil"/>
          <w:between w:val="nil"/>
        </w:pBdr>
        <w:ind w:firstLine="426"/>
        <w:jc w:val="both"/>
        <w:rPr>
          <w:rFonts w:ascii="Arial Nova" w:eastAsia="Arial" w:hAnsi="Arial Nova" w:cs="Arial"/>
          <w:sz w:val="24"/>
          <w:szCs w:val="24"/>
        </w:rPr>
      </w:pPr>
      <w:r w:rsidRPr="001142C0">
        <w:rPr>
          <w:rFonts w:ascii="Arial Nova" w:eastAsia="Arial" w:hAnsi="Arial Nova" w:cs="Arial"/>
          <w:sz w:val="24"/>
          <w:szCs w:val="24"/>
        </w:rPr>
        <w:t>Selain gambaran umum mengenai tingkat pengetahuan responden terhadap obat halal, analisis lebih lanjut dilakukan pada pertanyaan kuesioner yang menyoroti aspek-aspek spesifik terkait status kehalalan obat yang ditekankan pada titik kritis bahan baku obat.</w:t>
      </w:r>
    </w:p>
    <w:p w14:paraId="4D8738CF" w14:textId="77777777" w:rsidR="00B32942" w:rsidRDefault="00B32942" w:rsidP="00B32942">
      <w:pPr>
        <w:pBdr>
          <w:top w:val="nil"/>
          <w:left w:val="nil"/>
          <w:bottom w:val="nil"/>
          <w:right w:val="nil"/>
          <w:between w:val="nil"/>
        </w:pBdr>
        <w:jc w:val="both"/>
        <w:rPr>
          <w:rFonts w:ascii="Arial Nova" w:eastAsia="Arial" w:hAnsi="Arial Nova" w:cs="Arial"/>
          <w:b/>
          <w:bCs/>
          <w:sz w:val="24"/>
          <w:szCs w:val="24"/>
        </w:rPr>
      </w:pPr>
    </w:p>
    <w:p w14:paraId="371E3FF0" w14:textId="2B84188B" w:rsidR="005A4FC0" w:rsidRPr="001142C0" w:rsidRDefault="00C76877" w:rsidP="00B32942">
      <w:pPr>
        <w:pBdr>
          <w:top w:val="nil"/>
          <w:left w:val="nil"/>
          <w:bottom w:val="nil"/>
          <w:right w:val="nil"/>
          <w:between w:val="nil"/>
        </w:pBdr>
        <w:jc w:val="both"/>
        <w:rPr>
          <w:rFonts w:ascii="Arial Nova" w:eastAsia="Arial" w:hAnsi="Arial Nova" w:cs="Arial"/>
          <w:b/>
          <w:bCs/>
          <w:sz w:val="24"/>
          <w:szCs w:val="24"/>
        </w:rPr>
      </w:pPr>
      <w:r w:rsidRPr="001142C0">
        <w:rPr>
          <w:rFonts w:ascii="Arial Nova" w:eastAsia="Arial" w:hAnsi="Arial Nova" w:cs="Arial"/>
          <w:b/>
          <w:bCs/>
          <w:sz w:val="24"/>
          <w:szCs w:val="24"/>
        </w:rPr>
        <w:t>Penyuluhan Status obat batuk yang mengandung alkohol</w:t>
      </w:r>
    </w:p>
    <w:p w14:paraId="1E87A5DE" w14:textId="77777777" w:rsidR="005A4FC0" w:rsidRPr="001142C0" w:rsidRDefault="00C76877">
      <w:pPr>
        <w:pBdr>
          <w:top w:val="nil"/>
          <w:left w:val="nil"/>
          <w:bottom w:val="nil"/>
          <w:right w:val="nil"/>
          <w:between w:val="nil"/>
        </w:pBdr>
        <w:spacing w:after="120"/>
        <w:ind w:left="360"/>
        <w:rPr>
          <w:rFonts w:ascii="Arial Nova" w:eastAsia="Arial" w:hAnsi="Arial Nova" w:cs="Arial"/>
          <w:b/>
          <w:bCs/>
          <w:sz w:val="24"/>
          <w:szCs w:val="24"/>
        </w:rPr>
      </w:pPr>
      <w:r w:rsidRPr="001142C0">
        <w:rPr>
          <w:rFonts w:ascii="Arial Nova" w:eastAsia="Arial" w:hAnsi="Arial Nova" w:cs="Arial"/>
          <w:b/>
          <w:bCs/>
          <w:noProof/>
          <w:sz w:val="24"/>
          <w:szCs w:val="24"/>
          <w:lang w:val="en-US" w:eastAsia="en-US"/>
        </w:rPr>
        <w:drawing>
          <wp:inline distT="0" distB="0" distL="0" distR="0" wp14:anchorId="6D5D8893" wp14:editId="00BC69A2">
            <wp:extent cx="2191014" cy="2361537"/>
            <wp:effectExtent l="0" t="0" r="0" b="127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2200005" cy="2371227"/>
                    </a:xfrm>
                    <a:prstGeom prst="rect">
                      <a:avLst/>
                    </a:prstGeom>
                    <a:ln/>
                  </pic:spPr>
                </pic:pic>
              </a:graphicData>
            </a:graphic>
          </wp:inline>
        </w:drawing>
      </w:r>
    </w:p>
    <w:p w14:paraId="39E7016A" w14:textId="572D0AF2" w:rsidR="005A4FC0" w:rsidRPr="00B32942" w:rsidRDefault="00C76877" w:rsidP="00B32942">
      <w:pPr>
        <w:pBdr>
          <w:top w:val="nil"/>
          <w:left w:val="nil"/>
          <w:bottom w:val="nil"/>
          <w:right w:val="nil"/>
          <w:between w:val="nil"/>
        </w:pBdr>
        <w:ind w:left="360" w:firstLine="360"/>
        <w:rPr>
          <w:rFonts w:ascii="Arial Nova" w:eastAsia="Arial" w:hAnsi="Arial Nova" w:cs="Arial"/>
          <w:sz w:val="22"/>
          <w:szCs w:val="22"/>
        </w:rPr>
      </w:pPr>
      <w:r w:rsidRPr="001142C0">
        <w:rPr>
          <w:rFonts w:ascii="Arial Nova" w:eastAsia="Arial" w:hAnsi="Arial Nova" w:cs="Arial"/>
          <w:b/>
          <w:bCs/>
          <w:sz w:val="22"/>
          <w:szCs w:val="22"/>
        </w:rPr>
        <w:t xml:space="preserve">Gambar </w:t>
      </w:r>
      <w:r w:rsidR="008B0016" w:rsidRPr="001142C0">
        <w:rPr>
          <w:rFonts w:ascii="Arial Nova" w:eastAsia="Arial" w:hAnsi="Arial Nova" w:cs="Arial"/>
          <w:b/>
          <w:bCs/>
          <w:sz w:val="22"/>
          <w:szCs w:val="22"/>
        </w:rPr>
        <w:t>3.</w:t>
      </w:r>
      <w:r w:rsidR="008B0016" w:rsidRPr="001142C0">
        <w:rPr>
          <w:rFonts w:ascii="Arial Nova" w:eastAsia="Arial" w:hAnsi="Arial Nova" w:cs="Arial"/>
          <w:sz w:val="22"/>
          <w:szCs w:val="22"/>
        </w:rPr>
        <w:t xml:space="preserve"> </w:t>
      </w:r>
      <w:r w:rsidRPr="001142C0">
        <w:rPr>
          <w:rFonts w:ascii="Arial Nova" w:eastAsia="Arial" w:hAnsi="Arial Nova" w:cs="Arial"/>
          <w:sz w:val="22"/>
          <w:szCs w:val="22"/>
        </w:rPr>
        <w:t xml:space="preserve">Persentase </w:t>
      </w:r>
      <w:r w:rsidR="00B32942">
        <w:rPr>
          <w:rFonts w:ascii="Arial Nova" w:eastAsia="Arial" w:hAnsi="Arial Nova" w:cs="Arial"/>
          <w:sz w:val="22"/>
          <w:szCs w:val="22"/>
        </w:rPr>
        <w:t>Pengetahuan Peserta M</w:t>
      </w:r>
      <w:r w:rsidR="008B0016" w:rsidRPr="001142C0">
        <w:rPr>
          <w:rFonts w:ascii="Arial Nova" w:eastAsia="Arial" w:hAnsi="Arial Nova" w:cs="Arial"/>
          <w:sz w:val="22"/>
          <w:szCs w:val="22"/>
        </w:rPr>
        <w:t>engenai Ciri Obat Halal</w:t>
      </w:r>
    </w:p>
    <w:p w14:paraId="7657A25C" w14:textId="77777777" w:rsidR="00473614" w:rsidRDefault="00473614" w:rsidP="00B32942">
      <w:pPr>
        <w:pBdr>
          <w:top w:val="nil"/>
          <w:left w:val="nil"/>
          <w:bottom w:val="nil"/>
          <w:right w:val="nil"/>
          <w:between w:val="nil"/>
        </w:pBdr>
        <w:spacing w:after="240"/>
        <w:ind w:firstLine="426"/>
        <w:jc w:val="both"/>
        <w:rPr>
          <w:rFonts w:ascii="Arial Nova" w:eastAsia="Arial" w:hAnsi="Arial Nova" w:cs="Arial"/>
          <w:sz w:val="24"/>
          <w:szCs w:val="24"/>
        </w:rPr>
        <w:sectPr w:rsidR="00473614" w:rsidSect="00473614">
          <w:footerReference w:type="default" r:id="rId28"/>
          <w:pgSz w:w="11909" w:h="16834"/>
          <w:pgMar w:top="1418" w:right="1134" w:bottom="1134" w:left="1134" w:header="720" w:footer="720" w:gutter="0"/>
          <w:cols w:space="720"/>
        </w:sectPr>
      </w:pPr>
    </w:p>
    <w:p w14:paraId="79755E2A" w14:textId="3DB8D1DB" w:rsidR="005A4FC0" w:rsidRPr="00B32942" w:rsidRDefault="00C76877" w:rsidP="00B32942">
      <w:pPr>
        <w:pBdr>
          <w:top w:val="nil"/>
          <w:left w:val="nil"/>
          <w:bottom w:val="nil"/>
          <w:right w:val="nil"/>
          <w:between w:val="nil"/>
        </w:pBdr>
        <w:spacing w:after="240"/>
        <w:ind w:firstLine="426"/>
        <w:jc w:val="both"/>
        <w:rPr>
          <w:rFonts w:ascii="Arial Nova" w:eastAsia="Arial" w:hAnsi="Arial Nova" w:cs="Arial"/>
          <w:sz w:val="24"/>
          <w:szCs w:val="24"/>
        </w:rPr>
      </w:pPr>
      <w:r w:rsidRPr="001142C0">
        <w:rPr>
          <w:rFonts w:ascii="Arial Nova" w:eastAsia="Arial" w:hAnsi="Arial Nova" w:cs="Arial"/>
          <w:sz w:val="24"/>
          <w:szCs w:val="24"/>
        </w:rPr>
        <w:t>Hasil survei menunjukkan bahwa 30 % peserta dengan benar mengidentifikasi obat batuk yang mengandung alkohol sebagai mubah (boleh). Menurut Fatwa MUI Nomor 11 Tahun 2009 alkohol tidak selalu dikategorikan sebagai khamar, karena khamr secara khusus merujuk pada zat yang memabukkan yang dihasilkan melalui proses fermentasi. Alkohol yang berasal dari proses industri non-khamr, seperti etanol sintetis yang digunakan dalam obat, dianggap boleh selama tidak menyebabkan mabuk dan aman secara medis. Oleh karena itu, obat batuk yang mengandung alkohol dapat dikategorikan mubah apabila digunakan untuk kepentingan medis dan ketika belum tersedia alternatif obat halal yang setara. Pandangan ini didukung oleh regulasi BPOM Nomor 25 Tahun 2025 yang memperbolehkan penggunaan alkohol dalam sediaan farmasi secara terbatas dan terkontrol, meskipun edukasi lanjutan kepada masyarakat tetap diperlukan.</w:t>
      </w:r>
    </w:p>
    <w:p w14:paraId="26AA6FD0" w14:textId="77777777" w:rsidR="005A4FC0" w:rsidRPr="001142C0" w:rsidRDefault="00C76877">
      <w:pPr>
        <w:pBdr>
          <w:top w:val="nil"/>
          <w:left w:val="nil"/>
          <w:bottom w:val="nil"/>
          <w:right w:val="nil"/>
          <w:between w:val="nil"/>
        </w:pBdr>
        <w:spacing w:after="120"/>
        <w:jc w:val="both"/>
        <w:rPr>
          <w:rFonts w:ascii="Arial Nova" w:eastAsia="Arial" w:hAnsi="Arial Nova" w:cs="Arial"/>
          <w:b/>
          <w:bCs/>
          <w:sz w:val="24"/>
          <w:szCs w:val="24"/>
        </w:rPr>
      </w:pPr>
      <w:r w:rsidRPr="001142C0">
        <w:rPr>
          <w:rFonts w:ascii="Arial Nova" w:eastAsia="Arial" w:hAnsi="Arial Nova" w:cs="Arial"/>
          <w:b/>
          <w:bCs/>
          <w:sz w:val="24"/>
          <w:szCs w:val="24"/>
        </w:rPr>
        <w:t>Penyuluhan Contoh obat berdasarkan status</w:t>
      </w:r>
    </w:p>
    <w:p w14:paraId="73905075" w14:textId="77777777" w:rsidR="005A4FC0" w:rsidRPr="001142C0" w:rsidRDefault="00C76877">
      <w:pPr>
        <w:pBdr>
          <w:top w:val="nil"/>
          <w:left w:val="nil"/>
          <w:bottom w:val="nil"/>
          <w:right w:val="nil"/>
          <w:between w:val="nil"/>
        </w:pBdr>
        <w:spacing w:after="120"/>
        <w:rPr>
          <w:rFonts w:ascii="Arial Nova" w:eastAsia="Arial" w:hAnsi="Arial Nova" w:cs="Arial"/>
          <w:b/>
          <w:bCs/>
          <w:sz w:val="24"/>
          <w:szCs w:val="24"/>
        </w:rPr>
      </w:pPr>
      <w:r w:rsidRPr="001142C0">
        <w:rPr>
          <w:rFonts w:ascii="Arial Nova" w:eastAsia="Arial" w:hAnsi="Arial Nova" w:cs="Arial"/>
          <w:b/>
          <w:bCs/>
          <w:noProof/>
          <w:sz w:val="24"/>
          <w:szCs w:val="24"/>
          <w:lang w:val="en-US" w:eastAsia="en-US"/>
        </w:rPr>
        <w:drawing>
          <wp:inline distT="0" distB="0" distL="0" distR="0" wp14:anchorId="08C038AF" wp14:editId="5A2B4A5D">
            <wp:extent cx="2088000" cy="2160000"/>
            <wp:effectExtent l="0" t="0" r="762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2088000" cy="2160000"/>
                    </a:xfrm>
                    <a:prstGeom prst="rect">
                      <a:avLst/>
                    </a:prstGeom>
                    <a:ln/>
                  </pic:spPr>
                </pic:pic>
              </a:graphicData>
            </a:graphic>
          </wp:inline>
        </w:drawing>
      </w:r>
    </w:p>
    <w:p w14:paraId="721F2855" w14:textId="0DE81C31" w:rsidR="005A4FC0" w:rsidRPr="001142C0" w:rsidRDefault="00C76877">
      <w:pPr>
        <w:pBdr>
          <w:top w:val="nil"/>
          <w:left w:val="nil"/>
          <w:bottom w:val="nil"/>
          <w:right w:val="nil"/>
          <w:between w:val="nil"/>
        </w:pBdr>
        <w:ind w:firstLine="720"/>
        <w:rPr>
          <w:rFonts w:ascii="Arial Nova" w:eastAsia="Arial" w:hAnsi="Arial Nova" w:cs="Arial"/>
          <w:sz w:val="22"/>
          <w:szCs w:val="22"/>
        </w:rPr>
      </w:pPr>
      <w:r w:rsidRPr="001142C0">
        <w:rPr>
          <w:rFonts w:ascii="Arial Nova" w:eastAsia="Arial" w:hAnsi="Arial Nova" w:cs="Arial"/>
          <w:b/>
          <w:bCs/>
          <w:sz w:val="22"/>
          <w:szCs w:val="22"/>
        </w:rPr>
        <w:t xml:space="preserve">Gambar </w:t>
      </w:r>
      <w:r w:rsidR="008B0016" w:rsidRPr="001142C0">
        <w:rPr>
          <w:rFonts w:ascii="Arial Nova" w:eastAsia="Arial" w:hAnsi="Arial Nova" w:cs="Arial"/>
          <w:b/>
          <w:bCs/>
          <w:sz w:val="22"/>
          <w:szCs w:val="22"/>
        </w:rPr>
        <w:t>4.</w:t>
      </w:r>
      <w:r w:rsidR="008B0016" w:rsidRPr="001142C0">
        <w:rPr>
          <w:rFonts w:ascii="Arial Nova" w:eastAsia="Arial" w:hAnsi="Arial Nova" w:cs="Arial"/>
          <w:sz w:val="22"/>
          <w:szCs w:val="22"/>
        </w:rPr>
        <w:t xml:space="preserve"> </w:t>
      </w:r>
      <w:r w:rsidRPr="001142C0">
        <w:rPr>
          <w:rFonts w:ascii="Arial Nova" w:eastAsia="Arial" w:hAnsi="Arial Nova" w:cs="Arial"/>
          <w:sz w:val="22"/>
          <w:szCs w:val="22"/>
        </w:rPr>
        <w:t xml:space="preserve">Persentase </w:t>
      </w:r>
      <w:r w:rsidR="008B0016" w:rsidRPr="001142C0">
        <w:rPr>
          <w:rFonts w:ascii="Arial Nova" w:eastAsia="Arial" w:hAnsi="Arial Nova" w:cs="Arial"/>
          <w:sz w:val="22"/>
          <w:szCs w:val="22"/>
        </w:rPr>
        <w:t>Pengetahuan Peserta Mengenai Logo Obat Halal</w:t>
      </w:r>
    </w:p>
    <w:p w14:paraId="3684D5C1" w14:textId="77777777" w:rsidR="005A4FC0" w:rsidRPr="001142C0" w:rsidRDefault="005A4FC0">
      <w:pPr>
        <w:pBdr>
          <w:top w:val="nil"/>
          <w:left w:val="nil"/>
          <w:bottom w:val="nil"/>
          <w:right w:val="nil"/>
          <w:between w:val="nil"/>
        </w:pBdr>
        <w:ind w:firstLine="720"/>
        <w:jc w:val="both"/>
        <w:rPr>
          <w:rFonts w:ascii="Arial Nova" w:eastAsia="Arial" w:hAnsi="Arial Nova" w:cs="Arial"/>
          <w:sz w:val="24"/>
          <w:szCs w:val="24"/>
        </w:rPr>
      </w:pPr>
    </w:p>
    <w:p w14:paraId="57AA6E34" w14:textId="436A2CD4" w:rsidR="008B0016" w:rsidRPr="001142C0" w:rsidRDefault="00C76877" w:rsidP="008B0016">
      <w:pPr>
        <w:pBdr>
          <w:top w:val="nil"/>
          <w:left w:val="nil"/>
          <w:bottom w:val="nil"/>
          <w:right w:val="nil"/>
          <w:between w:val="nil"/>
        </w:pBdr>
        <w:ind w:firstLine="426"/>
        <w:jc w:val="both"/>
        <w:rPr>
          <w:rFonts w:ascii="Arial Nova" w:eastAsia="Arial" w:hAnsi="Arial Nova" w:cs="Arial"/>
          <w:sz w:val="24"/>
          <w:szCs w:val="24"/>
        </w:rPr>
      </w:pPr>
      <w:r w:rsidRPr="001142C0">
        <w:rPr>
          <w:rFonts w:ascii="Arial Nova" w:eastAsia="Arial" w:hAnsi="Arial Nova" w:cs="Arial"/>
          <w:sz w:val="24"/>
          <w:szCs w:val="24"/>
        </w:rPr>
        <w:t>Sebanyak 13 responden (43,3%) menilai kapsul hewani hampir pasti haram, mencerminkan pemahaman sebagian peserta terhadap bahan kritis obat, khususnya gelatin. Temuan ini sejalan dengan literatur yang menyebutkan gelatin berasal dari kolagen kulit dan tulang hewan, sehingga status kehalalannya bergantung pada jenis hewan dan proses penyembelihan. Gelatin dari babi atau hewan halal yang tidak disembelih sesuai syariat dinyatakan haram, sehingga penggunaannya dalam produk farmasi memerlukan perhatian khusus dan jaminan sertifikasi</w:t>
      </w:r>
      <w:r w:rsidR="00143C60">
        <w:rPr>
          <w:rFonts w:ascii="Arial Nova" w:eastAsia="Arial" w:hAnsi="Arial Nova" w:cs="Arial"/>
          <w:sz w:val="24"/>
          <w:szCs w:val="24"/>
        </w:rPr>
        <w:t xml:space="preserve"> </w:t>
      </w:r>
      <w:hyperlink w:anchor="Suseno" w:history="1">
        <w:r w:rsidR="00143C60" w:rsidRPr="00380FE9">
          <w:rPr>
            <w:rStyle w:val="Hyperlink"/>
            <w:rFonts w:ascii="Arial Nova" w:eastAsia="Arial" w:hAnsi="Arial Nova" w:cs="Arial"/>
            <w:color w:val="auto"/>
            <w:sz w:val="24"/>
            <w:szCs w:val="24"/>
            <w:u w:val="none"/>
          </w:rPr>
          <w:fldChar w:fldCharType="begin" w:fldLock="1"/>
        </w:r>
        <w:r w:rsidR="00143C60" w:rsidRPr="00380FE9">
          <w:rPr>
            <w:rStyle w:val="Hyperlink"/>
            <w:rFonts w:ascii="Arial Nova" w:eastAsia="Arial" w:hAnsi="Arial Nova" w:cs="Arial"/>
            <w:color w:val="auto"/>
            <w:sz w:val="24"/>
            <w:szCs w:val="24"/>
            <w:u w:val="none"/>
          </w:rPr>
          <w:instrText>ADDIN CSL_CITATION {"citationItems":[{"id":"ITEM-1","itemData":{"DOI":"https://doi.org/10.30736/jev.v2i2.69","ISSN":"2597-9612","abstract":"Gelatin banyak sekali kegunaannya dan bukan saja terbatas pada produk pangan tetapi juga pada produk non pangan seperti bahan baku pembuatan cangkang kapsul, bahan baku tambahan kosmetik dan obat-obatan. Dalam industri farmasi, gelatin digunakan dalam pembuatan kapsul lunak dan keras serta bahan pengikat obat sediaan tablet. Gelatin adalah senyawa polipeptida yang dihidrolisis dari kolagen yang sumbernya berasal dari tulang sapi dan babi serta kulit sapi, ikan dan babi. Pada tahun 2002, sebanyak 41% gelatin diproduksi dari kulit babi. Hal ini menunjukkan jumlah gelatin babi di pasar dunia sangat besar, sehingga dikhawatirkan menimbulkan rasa tidak aman bagi masyarakat khususnya umat islam dalam mengkonsumsi obat khususnya obat sediaan tablet yang menggunakan gelatin sebagai bahan pengikatnya. Tujuan penelitian ini adalah mengisolasi gelatin dari sediaan obat tablet yang tidak berbahan aktif protein menggunakan metode ferris dan mengidentifikasi gelatin hasil isolasi dengan menggunakan pereaksi biuret. Dari 11 sampel yang dianalisis, 9 sampel positif mengandung gelatin sedangkan 2 sampel tidak mengandung gelatin.","author":[{"dropping-particle":"","family":"Suseno","given":"Dedy","non-dropping-particle":"","parse-names":false,"suffix":""},{"dropping-particle":"","family":"Roswiem","given":"Anna P","non-dropping-particle":"","parse-names":false,"suffix":""}],"container-title":"Jurnal EnviScience (Environment Science)","id":"ITEM-1","issue":"2","issued":{"date-parts":[["2018"]]},"page":"85-90","title":"Isolasi dan Identifikasi Gelatin pada Sediaan Obat Tablet yang Tidak Berbahan Aktif Protein","type":"article-journal","volume":"2"},"uris":["http://www.mendeley.com/documents/?uuid=ceff3964-ac06-35ea-83fd-6e5c3de6a16b"]}],"mendeley":{"formattedCitation":"(Suseno &amp; Roswiem, 2018)","plainTextFormattedCitation":"(Suseno &amp; Roswiem, 2018)"},"properties":{"noteIndex":0},"schema":"https://github.com/citation-style-language/schema/raw/master/csl-citation.json"}</w:instrText>
        </w:r>
        <w:r w:rsidR="00143C60" w:rsidRPr="00380FE9">
          <w:rPr>
            <w:rStyle w:val="Hyperlink"/>
            <w:rFonts w:ascii="Arial Nova" w:eastAsia="Arial" w:hAnsi="Arial Nova" w:cs="Arial"/>
            <w:color w:val="auto"/>
            <w:sz w:val="24"/>
            <w:szCs w:val="24"/>
            <w:u w:val="none"/>
          </w:rPr>
          <w:fldChar w:fldCharType="separate"/>
        </w:r>
        <w:r w:rsidR="00143C60" w:rsidRPr="00380FE9">
          <w:rPr>
            <w:rStyle w:val="Hyperlink"/>
            <w:rFonts w:ascii="Arial Nova" w:eastAsia="Arial" w:hAnsi="Arial Nova" w:cs="Arial"/>
            <w:noProof/>
            <w:color w:val="auto"/>
            <w:sz w:val="24"/>
            <w:szCs w:val="24"/>
            <w:u w:val="none"/>
          </w:rPr>
          <w:t>(Suseno &amp; Roswiem, 2018)</w:t>
        </w:r>
        <w:r w:rsidR="00143C60" w:rsidRPr="00380FE9">
          <w:rPr>
            <w:rStyle w:val="Hyperlink"/>
            <w:rFonts w:ascii="Arial Nova" w:eastAsia="Arial" w:hAnsi="Arial Nova" w:cs="Arial"/>
            <w:color w:val="auto"/>
            <w:sz w:val="24"/>
            <w:szCs w:val="24"/>
            <w:u w:val="none"/>
          </w:rPr>
          <w:fldChar w:fldCharType="end"/>
        </w:r>
      </w:hyperlink>
      <w:r w:rsidR="00AB6D24">
        <w:rPr>
          <w:rFonts w:ascii="Arial Nova" w:eastAsia="Arial" w:hAnsi="Arial Nova" w:cs="Arial"/>
          <w:sz w:val="24"/>
          <w:szCs w:val="24"/>
        </w:rPr>
        <w:t>.</w:t>
      </w:r>
    </w:p>
    <w:p w14:paraId="5F2DF491" w14:textId="73D4D0A1" w:rsidR="008B0016" w:rsidRPr="001142C0" w:rsidRDefault="00C76877" w:rsidP="008B0016">
      <w:pPr>
        <w:pBdr>
          <w:top w:val="nil"/>
          <w:left w:val="nil"/>
          <w:bottom w:val="nil"/>
          <w:right w:val="nil"/>
          <w:between w:val="nil"/>
        </w:pBdr>
        <w:ind w:firstLine="426"/>
        <w:jc w:val="both"/>
        <w:rPr>
          <w:rFonts w:ascii="Arial Nova" w:eastAsia="Arial" w:hAnsi="Arial Nova" w:cs="Arial"/>
          <w:sz w:val="24"/>
          <w:szCs w:val="24"/>
        </w:rPr>
      </w:pPr>
      <w:r w:rsidRPr="001142C0">
        <w:rPr>
          <w:rFonts w:ascii="Arial Nova" w:eastAsia="Arial" w:hAnsi="Arial Nova" w:cs="Arial"/>
          <w:sz w:val="24"/>
          <w:szCs w:val="24"/>
        </w:rPr>
        <w:t>Hasil penyuluhan menunjukkan bahwa 46,7% peserta telah memahami bahwa obat yang mengandung alkohol hampir pasti haram. Fatwa MUI Nomor 40 Tahun 2018 tentang penggunaan alkohol atau etanol dalam obat diterbitkan untuk menjawab kekhawatiran masyarakat Muslim, karena alkohol merupakan bahan tambahan penting dalam pembuatan obat</w:t>
      </w:r>
      <w:r w:rsidR="00143C60">
        <w:rPr>
          <w:rFonts w:ascii="Arial Nova" w:eastAsia="Arial" w:hAnsi="Arial Nova" w:cs="Arial"/>
          <w:sz w:val="24"/>
          <w:szCs w:val="24"/>
        </w:rPr>
        <w:t xml:space="preserve"> </w:t>
      </w:r>
      <w:hyperlink w:anchor="Annisa" w:history="1">
        <w:r w:rsidR="00143C60" w:rsidRPr="00380FE9">
          <w:rPr>
            <w:rStyle w:val="Hyperlink"/>
            <w:rFonts w:ascii="Arial Nova" w:eastAsia="Arial" w:hAnsi="Arial Nova" w:cs="Arial"/>
            <w:color w:val="auto"/>
            <w:sz w:val="24"/>
            <w:szCs w:val="24"/>
            <w:u w:val="none"/>
          </w:rPr>
          <w:fldChar w:fldCharType="begin" w:fldLock="1"/>
        </w:r>
        <w:r w:rsidR="00143C60" w:rsidRPr="00380FE9">
          <w:rPr>
            <w:rStyle w:val="Hyperlink"/>
            <w:rFonts w:ascii="Arial Nova" w:eastAsia="Arial" w:hAnsi="Arial Nova" w:cs="Arial"/>
            <w:color w:val="auto"/>
            <w:sz w:val="24"/>
            <w:szCs w:val="24"/>
            <w:u w:val="none"/>
          </w:rPr>
          <w:instrText>ADDIN CSL_CITATION {"citationItems":[{"id":"ITEM-1","itemData":{"DOI":"https://doi.org/10.70338/wasatiyah.v5i2.162","abstract":"Alkohol sering dipandang sebagai hal negatif karena unsurnya yang memabukkan dan berbahaya sehingga ketetapan hukum syar’i nya ialah haram. Disamping efek negatif yang ditimbulkan, alkohol juga memiliki manfaat bagi kehidupan manusia salah satunya dibidang kosmetik dan obat-obatan. Sehingga tidak sedikit produk kosmetik dan obat-obatan yang mengandung alkohol saat ini telah dilabelisasi halal oleh pihak MUI untuk mengatasi keraguan masyarakat muslim dalam penggunaanya. Sayangnya, belum semua masyarakat memahami konsep halal penggunaan alkohol yang dimaksud pihak MUI sehingga masih banyak yang menolak untuk menggunakan obat-obatan atau kosmetika yang mengandung alkohol meskipun sudah memiliki label halal. Tujuan dari penelitian ini tak lain untuk menjelaskan sekaligus menganalisis standarisasi batas penggunaan kadar alkohol yang ditetapkan oleh pihak MUI dengan menggunakan perspektif maqasid syari’ah Jasser Auda. Penelitian ini termasuk penelitian pustaka atau deskriptif-kualitatif. Hasil penelitian yang dihasilkan ialah: Pertama, batas kadar penggunaan alkohol yang ditetapkan oleh pihak MUI maksimal 0,5% dengan ketentuan penggunaan dalam yang dikonsumsi seperti obat cair maksimal 0,5% dan sangat disarankan untuk penggunaan dibawah batas maksimal karena sifatnya yang langsung dicerna oleh organ dalam, sedangkan untuk penggunaan luar seperti kosmetik, obat salep penggunaan alkohol bisa diatas 0,5% karena penggunaan tidak dikonsumsi secara langsung. Kedua, jika ditinjau penggunaan alkohol dari segi maqasid syari’ah Jasser Auda yang merupakan hasil pemetaan ulang dari konsep maqasid syari’ah klasik yang berbasis dharuriyat al-khamsah kini implementasinya sudah sesuai dengan konsep Jasser Auda yang konsep maqasid miliknya lebih kearah human development dan HAM kecuali hifz al-mal yang belum bisa ditemukan implementasinya.","author":[{"dropping-particle":"","family":"Annisa","given":"Firda","non-dropping-particle":"","parse-names":false,"suffix":""}],"container-title":"Wasatiyah: Jurnal Hukum","id":"ITEM-1","issue":"2","issued":{"date-parts":[["2024"]]},"page":"1-15","title":"Batas Penggunaan Kadar Alkohol pada Kosmetik dan Obat-Obatan (Analisis terhadap Fatwa MUI Nomor: 40 Tahun 2018 Perspektif Maqasid Syari’ah)","type":"article-journal","volume":"5"},"uris":["http://www.mendeley.com/documents/?uuid=6900126e-36ab-3ea2-afe7-58df44c6f53d"]}],"mendeley":{"formattedCitation":"(Annisa, 2024)","plainTextFormattedCitation":"(Annisa, 2024)","previouslyFormattedCitation":"(Annisa, 2024)"},"properties":{"noteIndex":0},"schema":"https://github.com/citation-style-language/schema/raw/master/csl-citation.json"}</w:instrText>
        </w:r>
        <w:r w:rsidR="00143C60" w:rsidRPr="00380FE9">
          <w:rPr>
            <w:rStyle w:val="Hyperlink"/>
            <w:rFonts w:ascii="Arial Nova" w:eastAsia="Arial" w:hAnsi="Arial Nova" w:cs="Arial"/>
            <w:color w:val="auto"/>
            <w:sz w:val="24"/>
            <w:szCs w:val="24"/>
            <w:u w:val="none"/>
          </w:rPr>
          <w:fldChar w:fldCharType="separate"/>
        </w:r>
        <w:r w:rsidR="00143C60" w:rsidRPr="00380FE9">
          <w:rPr>
            <w:rStyle w:val="Hyperlink"/>
            <w:rFonts w:ascii="Arial Nova" w:eastAsia="Arial" w:hAnsi="Arial Nova" w:cs="Arial"/>
            <w:noProof/>
            <w:color w:val="auto"/>
            <w:sz w:val="24"/>
            <w:szCs w:val="24"/>
            <w:u w:val="none"/>
          </w:rPr>
          <w:t>(Annisa, 2024)</w:t>
        </w:r>
        <w:r w:rsidR="00143C60" w:rsidRPr="00380FE9">
          <w:rPr>
            <w:rStyle w:val="Hyperlink"/>
            <w:rFonts w:ascii="Arial Nova" w:eastAsia="Arial" w:hAnsi="Arial Nova" w:cs="Arial"/>
            <w:color w:val="auto"/>
            <w:sz w:val="24"/>
            <w:szCs w:val="24"/>
            <w:u w:val="none"/>
          </w:rPr>
          <w:fldChar w:fldCharType="end"/>
        </w:r>
      </w:hyperlink>
      <w:r w:rsidR="00AD5CB1" w:rsidRPr="001142C0">
        <w:rPr>
          <w:rFonts w:ascii="Arial Nova" w:eastAsia="Arial" w:hAnsi="Arial Nova" w:cs="Arial"/>
          <w:sz w:val="24"/>
          <w:szCs w:val="24"/>
        </w:rPr>
        <w:t>.</w:t>
      </w:r>
      <w:r w:rsidRPr="001142C0">
        <w:rPr>
          <w:rFonts w:ascii="Arial Nova" w:eastAsia="Arial" w:hAnsi="Arial Nova" w:cs="Arial"/>
          <w:sz w:val="24"/>
          <w:szCs w:val="24"/>
        </w:rPr>
        <w:t xml:space="preserve"> Fatwa tersebut menegaskan bahwa obat adalah kebutuhan esensial, sehingga penggunaannya tidak dapat dihindari. Alkohol atau etanol yang tidak berasal dari industri khamr, baik sintetis maupun hasil fermentasi non-khamr, diperbolehkan dalam obat cair maupun non-cair dengan syarat aman, tidak disalahgunakan, tidak membahayakan kesehatan, dan tidak bertujuan memabukkan. Pada sediaan cair, alkohol sintetis diperbolehkan hingga kadar maksimal 0,5% sesuai ketentuan.</w:t>
      </w:r>
    </w:p>
    <w:p w14:paraId="68CD867E" w14:textId="77777777" w:rsidR="00473614" w:rsidRDefault="00C76877" w:rsidP="008B0016">
      <w:pPr>
        <w:pBdr>
          <w:top w:val="nil"/>
          <w:left w:val="nil"/>
          <w:bottom w:val="nil"/>
          <w:right w:val="nil"/>
          <w:between w:val="nil"/>
        </w:pBdr>
        <w:ind w:firstLine="426"/>
        <w:jc w:val="both"/>
        <w:rPr>
          <w:rFonts w:ascii="Arial Nova" w:eastAsia="Arial" w:hAnsi="Arial Nova" w:cs="Arial"/>
          <w:sz w:val="24"/>
          <w:szCs w:val="24"/>
        </w:rPr>
        <w:sectPr w:rsidR="00473614" w:rsidSect="00473614">
          <w:footerReference w:type="even" r:id="rId30"/>
          <w:pgSz w:w="11909" w:h="16834"/>
          <w:pgMar w:top="1418" w:right="1134" w:bottom="1134" w:left="1134" w:header="720" w:footer="720" w:gutter="0"/>
          <w:cols w:space="720"/>
        </w:sectPr>
      </w:pPr>
      <w:r w:rsidRPr="001142C0">
        <w:rPr>
          <w:rFonts w:ascii="Arial Nova" w:eastAsia="Arial" w:hAnsi="Arial Nova" w:cs="Arial"/>
          <w:sz w:val="24"/>
          <w:szCs w:val="24"/>
        </w:rPr>
        <w:t xml:space="preserve">Sebanyak 10% peserta menilai obat dengan kandungan BKO (Bahan Kimia Obat) adalah haram, karena dianggap beresiko tinggi, tidak memiliki aturan dosis jelas, dan dapat menimbulkan gangguan organ hingga kematian. Praktik penambahan BKO dipandang sebagai kecurangan produsen yang merugikan konsumen, sehingga dilarang tegas oleh </w:t>
      </w:r>
    </w:p>
    <w:p w14:paraId="5108FEC4" w14:textId="1AFCA187" w:rsidR="008B0016" w:rsidRPr="00143C60" w:rsidRDefault="00C76877" w:rsidP="00473614">
      <w:pPr>
        <w:pBdr>
          <w:top w:val="nil"/>
          <w:left w:val="nil"/>
          <w:bottom w:val="nil"/>
          <w:right w:val="nil"/>
          <w:between w:val="nil"/>
        </w:pBdr>
        <w:jc w:val="both"/>
        <w:rPr>
          <w:rFonts w:ascii="Arial Nova" w:eastAsia="Arial" w:hAnsi="Arial Nova" w:cs="Arial"/>
          <w:sz w:val="24"/>
          <w:szCs w:val="24"/>
        </w:rPr>
      </w:pPr>
      <w:r w:rsidRPr="001142C0">
        <w:rPr>
          <w:rFonts w:ascii="Arial Nova" w:eastAsia="Arial" w:hAnsi="Arial Nova" w:cs="Arial"/>
          <w:sz w:val="24"/>
          <w:szCs w:val="24"/>
        </w:rPr>
        <w:t>BPOM (Badan Pengawas Obat dan Makanan) dalam obat tradisional maupun pangan. Peserta juga memahami bahwa efek obat tradisional seharusnya bertahap, sehingga efek instan sering dikaitkan dengan campuran BKO seperti parasetamol, fenilbutason, deksametason, atau sildenafil. Kesadaran ini membentuk persepsi bahwa BKO bukan hanya berbahaya, tetapi juga tidak sesuai nilai moral dan agama, sehingga dianggap haram</w:t>
      </w:r>
      <w:r w:rsidR="00AB6D24">
        <w:rPr>
          <w:rFonts w:ascii="Arial Nova" w:eastAsia="Arial" w:hAnsi="Arial Nova" w:cs="Arial"/>
          <w:sz w:val="24"/>
          <w:szCs w:val="24"/>
        </w:rPr>
        <w:t xml:space="preserve"> </w:t>
      </w:r>
      <w:hyperlink w:anchor="Sidoretno" w:history="1">
        <w:r w:rsidR="00143C60" w:rsidRPr="00380FE9">
          <w:rPr>
            <w:rStyle w:val="Hyperlink"/>
            <w:rFonts w:ascii="Arial Nova" w:eastAsia="Arial" w:hAnsi="Arial Nova" w:cs="Arial"/>
            <w:color w:val="auto"/>
            <w:sz w:val="24"/>
            <w:szCs w:val="24"/>
            <w:u w:val="none"/>
          </w:rPr>
          <w:fldChar w:fldCharType="begin" w:fldLock="1"/>
        </w:r>
        <w:r w:rsidR="00143C60" w:rsidRPr="00380FE9">
          <w:rPr>
            <w:rStyle w:val="Hyperlink"/>
            <w:rFonts w:ascii="Arial Nova" w:eastAsia="Arial" w:hAnsi="Arial Nova" w:cs="Arial"/>
            <w:color w:val="auto"/>
            <w:sz w:val="24"/>
            <w:szCs w:val="24"/>
            <w:u w:val="none"/>
          </w:rPr>
          <w:instrText>ADDIN CSL_CITATION {"citationItems":[{"id":"ITEM-1","itemData":{"DOI":"https://doi.org/10.36341/jpm.v1i2.453","ISSN":"2715-8187","abstract":"Obat Tradisional (OT), merupakan campuran bahan-bahan alami yang berasal daritumbuhan, hewan, mineral, dan gelenika atau campuran dari bahan tersebut yang secaraturun-temurun telah digunakan untuk pengobatan. OT membutuhkan waktu yang lebih lamauntuk memberikan efek kerja dibandingkan obat kimia. Namun sering kali masyarakatmenginginkan OT yang berefek “cespleng”. Padahal sebaliknya, jika khasiat OT cesplengdalam sekali pakai maka perlu diwaspadai kemungkinan ditambahkan bahan kimia obat(BKO). BKO yang ditambahkan seringkali tidak terukur takarannya, sehingga berpotensimembahayakan kesehatan jika digunakan dalam jangka waktu yang lama dan terus-menerus.Tujuan pengabdian ini adalah untuk memberikan informasi dan motivasi kepada kaderposyandu dan PKK untuk memahami bahaya BKO dalam obat tradisional sehingga mampumemberikan penjelasan dan meningkatkan pengetahuan pada masyarakat atas penggunaanobat tradisional sehingga terwujud masyarakat yang sadar obat. Tahap persiapan meliputiaudiensi, koordinasi dan pemantapan dengan mitra kemuadian identifikasi peserta kegiatan.Tahap pelaksanaan yaitu kegiatan berupa pemberian materi, diskusi dan memberikanpelatihan bagaimana cara melihat izin edar obat tradisional pada web BPOM. Pada akhirpelaksanaan diadakan evaluasi dan perbaikan. Hasil kegiatan menunjukkan keberhasilanproses yang ditunjukkan dengan kehadiran peserta mencapai 73,3%. Peningkatanpengetahuan sebesar 60% dan sebanyak 90% peserta telah memiliki pengetahuan dalammemilih obat tradisional yang aman digunakan.","author":[{"dropping-particle":"","family":"Sidoretno","given":"Wahyu Margi","non-dropping-particle":"","parse-names":false,"suffix":""},{"dropping-particle":"","family":"Oktaviani","given":"Ira","non-dropping-particle":"","parse-names":false,"suffix":""}],"container-title":"Jurnal Pengabdian Masyarakat Multidisiplin","id":"ITEM-1","issue":"2","issued":{"date-parts":[["2018"]]},"page":"117-123","title":"Education on the Dangers of Medicinal Chemicals in Traditional Medicine","type":"article-journal","volume":"1"},"uris":["http://www.mendeley.com/documents/?uuid=835b86ce-bb4e-31ce-b8c5-ffd469b379f4"]}],"mendeley":{"formattedCitation":"(Sidoretno &amp; Oktaviani, 2018)","plainTextFormattedCitation":"(Sidoretno &amp; Oktaviani, 2018)","previouslyFormattedCitation":"(Sidoretno &amp; Oktaviani, 2018)"},"properties":{"noteIndex":0},"schema":"https://github.com/citation-style-language/schema/raw/master/csl-citation.json"}</w:instrText>
        </w:r>
        <w:r w:rsidR="00143C60" w:rsidRPr="00380FE9">
          <w:rPr>
            <w:rStyle w:val="Hyperlink"/>
            <w:rFonts w:ascii="Arial Nova" w:eastAsia="Arial" w:hAnsi="Arial Nova" w:cs="Arial"/>
            <w:color w:val="auto"/>
            <w:sz w:val="24"/>
            <w:szCs w:val="24"/>
            <w:u w:val="none"/>
          </w:rPr>
          <w:fldChar w:fldCharType="separate"/>
        </w:r>
        <w:r w:rsidR="00143C60" w:rsidRPr="00380FE9">
          <w:rPr>
            <w:rStyle w:val="Hyperlink"/>
            <w:rFonts w:ascii="Arial Nova" w:eastAsia="Arial" w:hAnsi="Arial Nova" w:cs="Arial"/>
            <w:noProof/>
            <w:color w:val="auto"/>
            <w:sz w:val="24"/>
            <w:szCs w:val="24"/>
            <w:u w:val="none"/>
          </w:rPr>
          <w:t>(Sidoretno &amp; Oktaviani, 2018)</w:t>
        </w:r>
        <w:r w:rsidR="00143C60" w:rsidRPr="00380FE9">
          <w:rPr>
            <w:rStyle w:val="Hyperlink"/>
            <w:rFonts w:ascii="Arial Nova" w:eastAsia="Arial" w:hAnsi="Arial Nova" w:cs="Arial"/>
            <w:color w:val="auto"/>
            <w:sz w:val="24"/>
            <w:szCs w:val="24"/>
            <w:u w:val="none"/>
          </w:rPr>
          <w:fldChar w:fldCharType="end"/>
        </w:r>
      </w:hyperlink>
      <w:r w:rsidR="00143C60" w:rsidRPr="00380FE9">
        <w:rPr>
          <w:rFonts w:ascii="Arial Nova" w:eastAsia="Arial" w:hAnsi="Arial Nova" w:cs="Arial"/>
          <w:sz w:val="24"/>
          <w:szCs w:val="24"/>
        </w:rPr>
        <w:t>.</w:t>
      </w:r>
    </w:p>
    <w:p w14:paraId="7E443C6E" w14:textId="4D0EEF8E" w:rsidR="005A4FC0" w:rsidRPr="001142C0" w:rsidRDefault="00C76877" w:rsidP="008B0016">
      <w:pPr>
        <w:pBdr>
          <w:top w:val="nil"/>
          <w:left w:val="nil"/>
          <w:bottom w:val="nil"/>
          <w:right w:val="nil"/>
          <w:between w:val="nil"/>
        </w:pBdr>
        <w:ind w:firstLine="426"/>
        <w:jc w:val="both"/>
        <w:rPr>
          <w:rFonts w:ascii="Arial Nova" w:eastAsia="Arial" w:hAnsi="Arial Nova" w:cs="Arial"/>
          <w:sz w:val="24"/>
          <w:szCs w:val="24"/>
        </w:rPr>
      </w:pPr>
      <w:r w:rsidRPr="001142C0">
        <w:rPr>
          <w:rFonts w:ascii="Arial Nova" w:eastAsia="Arial" w:hAnsi="Arial Nova" w:cs="Arial"/>
          <w:sz w:val="24"/>
          <w:szCs w:val="24"/>
        </w:rPr>
        <w:t>Berikut ini merupakan beberapa dokumentasi dari ke</w:t>
      </w:r>
      <w:bookmarkStart w:id="0" w:name="_GoBack"/>
      <w:bookmarkEnd w:id="0"/>
      <w:r w:rsidRPr="001142C0">
        <w:rPr>
          <w:rFonts w:ascii="Arial Nova" w:eastAsia="Arial" w:hAnsi="Arial Nova" w:cs="Arial"/>
          <w:sz w:val="24"/>
          <w:szCs w:val="24"/>
        </w:rPr>
        <w:t xml:space="preserve">giatan PKM seperti yang terlihat pada Gambar 5. </w:t>
      </w:r>
    </w:p>
    <w:p w14:paraId="1B2D5ABC" w14:textId="1CBA1437" w:rsidR="005A4FC0" w:rsidRPr="001142C0" w:rsidRDefault="00CC4694" w:rsidP="001142C0">
      <w:pPr>
        <w:rPr>
          <w:rFonts w:ascii="Arial Nova" w:hAnsi="Arial Nova"/>
        </w:rPr>
      </w:pPr>
      <w:r w:rsidRPr="001142C0">
        <w:rPr>
          <w:rFonts w:ascii="Arial Nova" w:hAnsi="Arial Nova"/>
          <w:noProof/>
          <w:lang w:val="en-US" w:eastAsia="en-US"/>
        </w:rPr>
        <w:drawing>
          <wp:anchor distT="0" distB="0" distL="114300" distR="114300" simplePos="0" relativeHeight="251658240" behindDoc="0" locked="0" layoutInCell="1" hidden="0" allowOverlap="1" wp14:anchorId="5087EB2D" wp14:editId="7D961A23">
            <wp:simplePos x="0" y="0"/>
            <wp:positionH relativeFrom="column">
              <wp:posOffset>2693670</wp:posOffset>
            </wp:positionH>
            <wp:positionV relativeFrom="paragraph">
              <wp:posOffset>270510</wp:posOffset>
            </wp:positionV>
            <wp:extent cx="2933700" cy="1926590"/>
            <wp:effectExtent l="0" t="0" r="0" b="0"/>
            <wp:wrapTopAndBottom distT="0" dist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1"/>
                    <a:srcRect/>
                    <a:stretch>
                      <a:fillRect/>
                    </a:stretch>
                  </pic:blipFill>
                  <pic:spPr>
                    <a:xfrm>
                      <a:off x="0" y="0"/>
                      <a:ext cx="2933700" cy="1926590"/>
                    </a:xfrm>
                    <a:prstGeom prst="rect">
                      <a:avLst/>
                    </a:prstGeom>
                    <a:ln/>
                  </pic:spPr>
                </pic:pic>
              </a:graphicData>
            </a:graphic>
            <wp14:sizeRelH relativeFrom="margin">
              <wp14:pctWidth>0</wp14:pctWidth>
            </wp14:sizeRelH>
            <wp14:sizeRelV relativeFrom="margin">
              <wp14:pctHeight>0</wp14:pctHeight>
            </wp14:sizeRelV>
          </wp:anchor>
        </w:drawing>
      </w:r>
      <w:r w:rsidR="001142C0" w:rsidRPr="001142C0">
        <w:rPr>
          <w:rFonts w:ascii="Arial Nova" w:hAnsi="Arial Nova"/>
          <w:noProof/>
          <w:lang w:val="en-US" w:eastAsia="en-US"/>
        </w:rPr>
        <w:drawing>
          <wp:anchor distT="0" distB="0" distL="114300" distR="114300" simplePos="0" relativeHeight="251659264" behindDoc="0" locked="0" layoutInCell="1" hidden="0" allowOverlap="1" wp14:anchorId="44DB7CDF" wp14:editId="29A63BD4">
            <wp:simplePos x="0" y="0"/>
            <wp:positionH relativeFrom="column">
              <wp:posOffset>321310</wp:posOffset>
            </wp:positionH>
            <wp:positionV relativeFrom="paragraph">
              <wp:posOffset>270510</wp:posOffset>
            </wp:positionV>
            <wp:extent cx="2390775" cy="1927225"/>
            <wp:effectExtent l="0" t="0" r="9525" b="0"/>
            <wp:wrapTopAndBottom distT="0" dist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2"/>
                    <a:srcRect/>
                    <a:stretch>
                      <a:fillRect/>
                    </a:stretch>
                  </pic:blipFill>
                  <pic:spPr>
                    <a:xfrm>
                      <a:off x="0" y="0"/>
                      <a:ext cx="2390775" cy="1927225"/>
                    </a:xfrm>
                    <a:prstGeom prst="rect">
                      <a:avLst/>
                    </a:prstGeom>
                    <a:ln/>
                  </pic:spPr>
                </pic:pic>
              </a:graphicData>
            </a:graphic>
            <wp14:sizeRelV relativeFrom="margin">
              <wp14:pctHeight>0</wp14:pctHeight>
            </wp14:sizeRelV>
          </wp:anchor>
        </w:drawing>
      </w:r>
    </w:p>
    <w:p w14:paraId="35FE9A17" w14:textId="77777777" w:rsidR="005A4FC0" w:rsidRPr="001142C0" w:rsidRDefault="00C76877">
      <w:pPr>
        <w:pBdr>
          <w:top w:val="nil"/>
          <w:left w:val="nil"/>
          <w:bottom w:val="nil"/>
          <w:right w:val="nil"/>
          <w:between w:val="nil"/>
        </w:pBdr>
        <w:ind w:firstLine="426"/>
        <w:rPr>
          <w:rFonts w:ascii="Arial Nova" w:eastAsia="Arial" w:hAnsi="Arial Nova" w:cs="Arial"/>
          <w:sz w:val="24"/>
          <w:szCs w:val="24"/>
        </w:rPr>
      </w:pPr>
      <w:r w:rsidRPr="00850159">
        <w:rPr>
          <w:rFonts w:ascii="Arial Nova" w:eastAsia="Arial" w:hAnsi="Arial Nova" w:cs="Arial"/>
          <w:b/>
          <w:bCs/>
          <w:sz w:val="22"/>
          <w:szCs w:val="24"/>
        </w:rPr>
        <w:t>Gambar 5</w:t>
      </w:r>
      <w:r w:rsidRPr="00850159">
        <w:rPr>
          <w:rFonts w:ascii="Arial Nova" w:eastAsia="Arial" w:hAnsi="Arial Nova" w:cs="Arial"/>
          <w:sz w:val="22"/>
          <w:szCs w:val="24"/>
        </w:rPr>
        <w:t>. Kegiatan PKM</w:t>
      </w:r>
    </w:p>
    <w:p w14:paraId="1D961933" w14:textId="77777777" w:rsidR="005A4FC0" w:rsidRPr="001142C0" w:rsidRDefault="005A4FC0">
      <w:pPr>
        <w:pBdr>
          <w:top w:val="nil"/>
          <w:left w:val="nil"/>
          <w:bottom w:val="nil"/>
          <w:right w:val="nil"/>
          <w:between w:val="nil"/>
        </w:pBdr>
        <w:ind w:firstLine="720"/>
        <w:jc w:val="both"/>
        <w:rPr>
          <w:rFonts w:ascii="Arial Nova" w:eastAsia="Arial" w:hAnsi="Arial Nova" w:cs="Arial"/>
          <w:sz w:val="24"/>
          <w:szCs w:val="24"/>
        </w:rPr>
      </w:pPr>
    </w:p>
    <w:p w14:paraId="22518AFA" w14:textId="77777777" w:rsidR="005A4FC0" w:rsidRPr="001142C0" w:rsidRDefault="00C76877" w:rsidP="008B0016">
      <w:pPr>
        <w:pBdr>
          <w:top w:val="nil"/>
          <w:left w:val="nil"/>
          <w:bottom w:val="nil"/>
          <w:right w:val="nil"/>
          <w:between w:val="nil"/>
        </w:pBdr>
        <w:ind w:firstLine="426"/>
        <w:jc w:val="both"/>
        <w:rPr>
          <w:rFonts w:ascii="Arial Nova" w:eastAsia="Arial" w:hAnsi="Arial Nova" w:cs="Arial"/>
          <w:sz w:val="24"/>
          <w:szCs w:val="24"/>
        </w:rPr>
      </w:pPr>
      <w:r w:rsidRPr="001142C0">
        <w:rPr>
          <w:rFonts w:ascii="Arial Nova" w:eastAsia="Arial" w:hAnsi="Arial Nova" w:cs="Arial"/>
          <w:sz w:val="24"/>
          <w:szCs w:val="24"/>
        </w:rPr>
        <w:t xml:space="preserve">Berdasarkan Gambar 5. para pemateri memaparkan penyuluhan yang berisi informasi seputar obat halal. Dalam PKM ini, selain penyuluhan lisan, disebarkan pula </w:t>
      </w:r>
      <w:r w:rsidRPr="001142C0">
        <w:rPr>
          <w:rFonts w:ascii="Arial Nova" w:eastAsia="Arial" w:hAnsi="Arial Nova" w:cs="Arial"/>
          <w:i/>
          <w:iCs/>
          <w:sz w:val="24"/>
          <w:szCs w:val="24"/>
        </w:rPr>
        <w:t>leaflet</w:t>
      </w:r>
      <w:r w:rsidRPr="001142C0">
        <w:rPr>
          <w:rFonts w:ascii="Arial Nova" w:eastAsia="Arial" w:hAnsi="Arial Nova" w:cs="Arial"/>
          <w:sz w:val="24"/>
          <w:szCs w:val="24"/>
        </w:rPr>
        <w:t xml:space="preserve"> kepada ibu-ibu pengajian sebagai media edukasi tambahan. </w:t>
      </w:r>
      <w:r w:rsidRPr="001142C0">
        <w:rPr>
          <w:rFonts w:ascii="Arial Nova" w:eastAsia="Arial" w:hAnsi="Arial Nova" w:cs="Arial"/>
          <w:i/>
          <w:iCs/>
          <w:sz w:val="24"/>
          <w:szCs w:val="24"/>
        </w:rPr>
        <w:t>Leaflet</w:t>
      </w:r>
      <w:r w:rsidRPr="001142C0">
        <w:rPr>
          <w:rFonts w:ascii="Arial Nova" w:eastAsia="Arial" w:hAnsi="Arial Nova" w:cs="Arial"/>
          <w:sz w:val="24"/>
          <w:szCs w:val="24"/>
        </w:rPr>
        <w:t xml:space="preserve"> tersebut memuat materi inti mengenai pengertian obat halal, pentingnya memilih obat sesuai syariat, manfaat penggunaan obat halal bagi kesehatan dan keberkahan, serta ciri-ciri obat yang telah bersertifikat halal pada kemasan. Penyebaran </w:t>
      </w:r>
      <w:r w:rsidRPr="001142C0">
        <w:rPr>
          <w:rFonts w:ascii="Arial Nova" w:eastAsia="Arial" w:hAnsi="Arial Nova" w:cs="Arial"/>
          <w:i/>
          <w:iCs/>
          <w:sz w:val="24"/>
          <w:szCs w:val="24"/>
        </w:rPr>
        <w:t>leaflet</w:t>
      </w:r>
      <w:r w:rsidRPr="001142C0">
        <w:rPr>
          <w:rFonts w:ascii="Arial Nova" w:eastAsia="Arial" w:hAnsi="Arial Nova" w:cs="Arial"/>
          <w:sz w:val="24"/>
          <w:szCs w:val="24"/>
        </w:rPr>
        <w:t xml:space="preserve"> bertujuan memperkuat pemahaman peserta, menyediakan referensi tertulis yang dapat dibawa pulang, dan memastikan informasi dapat dibagikan kembali kepada keluarga maupun komunitas. Strategi ini efektif dalam meningkatkan literasi kesehatan sekaligus memperluas jangkauan penyuluhan obat halal secara berkelanjutan.</w:t>
      </w:r>
      <w:r w:rsidRPr="001142C0">
        <w:rPr>
          <w:rFonts w:ascii="Arial Nova" w:eastAsia="Arial" w:hAnsi="Arial Nova" w:cs="Arial"/>
          <w:b/>
          <w:bCs/>
          <w:sz w:val="23"/>
          <w:szCs w:val="23"/>
        </w:rPr>
        <w:t xml:space="preserve"> </w:t>
      </w:r>
    </w:p>
    <w:p w14:paraId="2D4D5D4E" w14:textId="77777777" w:rsidR="005A4FC0" w:rsidRPr="001142C0" w:rsidRDefault="005A4FC0">
      <w:pPr>
        <w:jc w:val="both"/>
        <w:rPr>
          <w:rFonts w:ascii="Arial Nova" w:eastAsia="Arial" w:hAnsi="Arial Nova" w:cs="Arial"/>
          <w:sz w:val="24"/>
          <w:szCs w:val="24"/>
        </w:rPr>
      </w:pPr>
    </w:p>
    <w:p w14:paraId="0C0153EE" w14:textId="77777777" w:rsidR="005A4FC0" w:rsidRPr="001142C0" w:rsidRDefault="00C76877">
      <w:pPr>
        <w:numPr>
          <w:ilvl w:val="0"/>
          <w:numId w:val="1"/>
        </w:numPr>
        <w:pBdr>
          <w:top w:val="nil"/>
          <w:left w:val="nil"/>
          <w:bottom w:val="nil"/>
          <w:right w:val="nil"/>
          <w:between w:val="nil"/>
        </w:pBdr>
        <w:ind w:left="426" w:hanging="426"/>
        <w:jc w:val="both"/>
        <w:rPr>
          <w:rFonts w:ascii="Arial Nova" w:eastAsia="Arial" w:hAnsi="Arial Nova" w:cs="Arial"/>
          <w:b/>
          <w:bCs/>
          <w:sz w:val="24"/>
          <w:szCs w:val="24"/>
        </w:rPr>
      </w:pPr>
      <w:r w:rsidRPr="001142C0">
        <w:rPr>
          <w:rFonts w:ascii="Arial Nova" w:eastAsia="Arial" w:hAnsi="Arial Nova" w:cs="Arial"/>
          <w:b/>
          <w:bCs/>
          <w:sz w:val="24"/>
          <w:szCs w:val="24"/>
        </w:rPr>
        <w:t>KESIMPULAN</w:t>
      </w:r>
    </w:p>
    <w:p w14:paraId="29FD75BA" w14:textId="77777777" w:rsidR="005A4FC0" w:rsidRPr="001142C0" w:rsidRDefault="00C76877">
      <w:pPr>
        <w:jc w:val="both"/>
        <w:rPr>
          <w:rFonts w:ascii="Arial Nova" w:eastAsia="Arial" w:hAnsi="Arial Nova" w:cs="Arial"/>
          <w:sz w:val="24"/>
          <w:szCs w:val="24"/>
        </w:rPr>
      </w:pPr>
      <w:r w:rsidRPr="001142C0">
        <w:rPr>
          <w:rFonts w:ascii="Arial Nova" w:eastAsia="Arial" w:hAnsi="Arial Nova" w:cs="Arial"/>
          <w:sz w:val="24"/>
          <w:szCs w:val="24"/>
        </w:rPr>
        <w:t xml:space="preserve"> </w:t>
      </w:r>
    </w:p>
    <w:p w14:paraId="2BBF11F1" w14:textId="77777777" w:rsidR="00473614" w:rsidRDefault="00C76877">
      <w:pPr>
        <w:ind w:firstLine="426"/>
        <w:jc w:val="both"/>
        <w:rPr>
          <w:rFonts w:ascii="Arial Nova" w:eastAsia="Arial" w:hAnsi="Arial Nova" w:cs="Arial"/>
          <w:sz w:val="24"/>
          <w:szCs w:val="24"/>
        </w:rPr>
        <w:sectPr w:rsidR="00473614" w:rsidSect="00473614">
          <w:footerReference w:type="default" r:id="rId33"/>
          <w:pgSz w:w="11909" w:h="16834"/>
          <w:pgMar w:top="1418" w:right="1134" w:bottom="1134" w:left="1134" w:header="720" w:footer="720" w:gutter="0"/>
          <w:cols w:space="720"/>
        </w:sectPr>
      </w:pPr>
      <w:r w:rsidRPr="001142C0">
        <w:rPr>
          <w:rFonts w:ascii="Arial Nova" w:eastAsia="Arial" w:hAnsi="Arial Nova" w:cs="Arial"/>
          <w:sz w:val="24"/>
          <w:szCs w:val="24"/>
        </w:rPr>
        <w:t xml:space="preserve">Kegiatan PKM di Kampung Cijugul Desa Mekarwangi menunjukkan kontribusi nyata dalam meningkatkan literasi kesehatan masyarakat terkait obat halal. Hasil kuesioner mengindikasikan bahwa sebagian besar peserta masih memiliki keterbatasan pemahaman mengenai konsep kehalalan obat, meskipun mereka relatif lebih familiar dengan simbol visual seperti logo halal. Temuan ini menegaskan adanya kesenjangan pengetahuan antara pengenalan simbol dan pemahaman substansi, yang berakar pada keterbatasan akses informasi serta rendahnya literasi kesehatan. Oleh karena itu, strategi penyuluhan berkelanjutan dengan dukungan media edukasi tertulis dan pemanfaatan kelompok pengajian sebagai agen perubahan menjadi solusi penting. Dengan pendekatan ini, PKM </w:t>
      </w:r>
    </w:p>
    <w:p w14:paraId="7B9A371C" w14:textId="2FAD706F" w:rsidR="005A4FC0" w:rsidRPr="001142C0" w:rsidRDefault="00C76877" w:rsidP="00473614">
      <w:pPr>
        <w:jc w:val="both"/>
        <w:rPr>
          <w:rFonts w:ascii="Arial Nova" w:eastAsia="Arial" w:hAnsi="Arial Nova" w:cs="Arial"/>
          <w:sz w:val="24"/>
          <w:szCs w:val="24"/>
        </w:rPr>
      </w:pPr>
      <w:r w:rsidRPr="001142C0">
        <w:rPr>
          <w:rFonts w:ascii="Arial Nova" w:eastAsia="Arial" w:hAnsi="Arial Nova" w:cs="Arial"/>
          <w:sz w:val="24"/>
          <w:szCs w:val="24"/>
        </w:rPr>
        <w:t>tidak hanya meningkatkan pengetahuan, tetapi juga memperkuat kesadaran kritis masyarakat serta mendukung pembangunan kesehatan berbasis komunitas.</w:t>
      </w:r>
    </w:p>
    <w:p w14:paraId="66412581" w14:textId="77777777" w:rsidR="005A4FC0" w:rsidRPr="001142C0" w:rsidRDefault="005A4FC0">
      <w:pPr>
        <w:jc w:val="both"/>
        <w:rPr>
          <w:rFonts w:ascii="Arial Nova" w:eastAsia="Arial" w:hAnsi="Arial Nova" w:cs="Arial"/>
          <w:sz w:val="24"/>
          <w:szCs w:val="24"/>
        </w:rPr>
      </w:pPr>
    </w:p>
    <w:p w14:paraId="494F82BC" w14:textId="42974101" w:rsidR="005A4FC0" w:rsidRDefault="00C76877" w:rsidP="00AA5D36">
      <w:pPr>
        <w:numPr>
          <w:ilvl w:val="0"/>
          <w:numId w:val="1"/>
        </w:numPr>
        <w:pBdr>
          <w:top w:val="nil"/>
          <w:left w:val="nil"/>
          <w:bottom w:val="nil"/>
          <w:right w:val="nil"/>
          <w:between w:val="nil"/>
        </w:pBdr>
        <w:tabs>
          <w:tab w:val="left" w:pos="426"/>
        </w:tabs>
        <w:spacing w:after="240"/>
        <w:ind w:left="426" w:hanging="426"/>
        <w:jc w:val="both"/>
        <w:rPr>
          <w:rFonts w:ascii="Arial Nova" w:eastAsia="Arial" w:hAnsi="Arial Nova" w:cs="Arial"/>
          <w:b/>
          <w:bCs/>
          <w:sz w:val="24"/>
          <w:szCs w:val="24"/>
        </w:rPr>
      </w:pPr>
      <w:r w:rsidRPr="001142C0">
        <w:rPr>
          <w:rFonts w:ascii="Arial Nova" w:eastAsia="Arial" w:hAnsi="Arial Nova" w:cs="Arial"/>
          <w:b/>
          <w:bCs/>
          <w:sz w:val="24"/>
          <w:szCs w:val="24"/>
        </w:rPr>
        <w:t>DAFTAR PUSTAKA</w:t>
      </w:r>
    </w:p>
    <w:p w14:paraId="04894816" w14:textId="15797FAC" w:rsidR="00143C60" w:rsidRPr="00143C60" w:rsidRDefault="00143C60" w:rsidP="00143C60">
      <w:pPr>
        <w:widowControl w:val="0"/>
        <w:pBdr>
          <w:top w:val="nil"/>
        </w:pBdr>
        <w:autoSpaceDE w:val="0"/>
        <w:autoSpaceDN w:val="0"/>
        <w:adjustRightInd w:val="0"/>
        <w:ind w:left="480" w:hanging="480"/>
        <w:jc w:val="both"/>
        <w:rPr>
          <w:rFonts w:ascii="Arial Nova" w:hAnsi="Arial Nova"/>
          <w:noProof/>
          <w:sz w:val="24"/>
          <w:szCs w:val="24"/>
        </w:rPr>
      </w:pPr>
      <w:r>
        <w:rPr>
          <w:rFonts w:ascii="Arial Nova" w:eastAsia="Arial" w:hAnsi="Arial Nova" w:cs="Arial"/>
          <w:b/>
          <w:bCs/>
          <w:sz w:val="24"/>
          <w:szCs w:val="24"/>
        </w:rPr>
        <w:fldChar w:fldCharType="begin" w:fldLock="1"/>
      </w:r>
      <w:r>
        <w:rPr>
          <w:rFonts w:ascii="Arial Nova" w:eastAsia="Arial" w:hAnsi="Arial Nova" w:cs="Arial"/>
          <w:b/>
          <w:bCs/>
          <w:sz w:val="24"/>
          <w:szCs w:val="24"/>
        </w:rPr>
        <w:instrText xml:space="preserve">ADDIN Mendeley Bibliography CSL_BIBLIOGRAPHY </w:instrText>
      </w:r>
      <w:r>
        <w:rPr>
          <w:rFonts w:ascii="Arial Nova" w:eastAsia="Arial" w:hAnsi="Arial Nova" w:cs="Arial"/>
          <w:b/>
          <w:bCs/>
          <w:sz w:val="24"/>
          <w:szCs w:val="24"/>
        </w:rPr>
        <w:fldChar w:fldCharType="separate"/>
      </w:r>
      <w:bookmarkStart w:id="1" w:name="Annisa"/>
      <w:r w:rsidRPr="00143C60">
        <w:rPr>
          <w:rFonts w:ascii="Arial Nova" w:hAnsi="Arial Nova"/>
          <w:noProof/>
          <w:sz w:val="24"/>
          <w:szCs w:val="24"/>
        </w:rPr>
        <w:t>Annisa</w:t>
      </w:r>
      <w:bookmarkEnd w:id="1"/>
      <w:r w:rsidRPr="00143C60">
        <w:rPr>
          <w:rFonts w:ascii="Arial Nova" w:hAnsi="Arial Nova"/>
          <w:noProof/>
          <w:sz w:val="24"/>
          <w:szCs w:val="24"/>
        </w:rPr>
        <w:t xml:space="preserve">, F. (2024). Batas Penggunaan Kadar Alkohol pada Kosmetik dan Obat-Obatan (Analisis terhadap Fatwa MUI Nomor: 40 Tahun 2018 Perspektif Maqasid Syari’ah). </w:t>
      </w:r>
      <w:r w:rsidRPr="00143C60">
        <w:rPr>
          <w:rFonts w:ascii="Arial Nova" w:hAnsi="Arial Nova"/>
          <w:i/>
          <w:iCs/>
          <w:noProof/>
          <w:sz w:val="24"/>
          <w:szCs w:val="24"/>
        </w:rPr>
        <w:t>Wasatiyah: Jurnal Hukum</w:t>
      </w:r>
      <w:r w:rsidRPr="00143C60">
        <w:rPr>
          <w:rFonts w:ascii="Arial Nova" w:hAnsi="Arial Nova"/>
          <w:noProof/>
          <w:sz w:val="24"/>
          <w:szCs w:val="24"/>
        </w:rPr>
        <w:t xml:space="preserve">, </w:t>
      </w:r>
      <w:r w:rsidRPr="00143C60">
        <w:rPr>
          <w:rFonts w:ascii="Arial Nova" w:hAnsi="Arial Nova"/>
          <w:i/>
          <w:iCs/>
          <w:noProof/>
          <w:sz w:val="24"/>
          <w:szCs w:val="24"/>
        </w:rPr>
        <w:t>5</w:t>
      </w:r>
      <w:r w:rsidRPr="00143C60">
        <w:rPr>
          <w:rFonts w:ascii="Arial Nova" w:hAnsi="Arial Nova"/>
          <w:noProof/>
          <w:sz w:val="24"/>
          <w:szCs w:val="24"/>
        </w:rPr>
        <w:t>(2), 1–15. https://doi.org/https://doi.org/10.70338/wasatiyah.v5i2.162</w:t>
      </w:r>
    </w:p>
    <w:p w14:paraId="219F3867" w14:textId="77777777" w:rsidR="00143C60" w:rsidRPr="00143C60" w:rsidRDefault="00143C60" w:rsidP="00143C60">
      <w:pPr>
        <w:widowControl w:val="0"/>
        <w:pBdr>
          <w:top w:val="nil"/>
        </w:pBdr>
        <w:autoSpaceDE w:val="0"/>
        <w:autoSpaceDN w:val="0"/>
        <w:adjustRightInd w:val="0"/>
        <w:ind w:left="480" w:hanging="480"/>
        <w:jc w:val="both"/>
        <w:rPr>
          <w:rFonts w:ascii="Arial Nova" w:hAnsi="Arial Nova"/>
          <w:noProof/>
          <w:sz w:val="24"/>
          <w:szCs w:val="24"/>
        </w:rPr>
      </w:pPr>
      <w:bookmarkStart w:id="2" w:name="Hakim"/>
      <w:r w:rsidRPr="00143C60">
        <w:rPr>
          <w:rFonts w:ascii="Arial Nova" w:hAnsi="Arial Nova"/>
          <w:noProof/>
          <w:sz w:val="24"/>
          <w:szCs w:val="24"/>
        </w:rPr>
        <w:t>Hakim</w:t>
      </w:r>
      <w:bookmarkEnd w:id="2"/>
      <w:r w:rsidRPr="00143C60">
        <w:rPr>
          <w:rFonts w:ascii="Arial Nova" w:hAnsi="Arial Nova"/>
          <w:noProof/>
          <w:sz w:val="24"/>
          <w:szCs w:val="24"/>
        </w:rPr>
        <w:t xml:space="preserve">, U. H., &amp; Anggraeni, F. (2023). Industri Farmasi dalam Kajian Produk Halal: Pendekatan Systematic Literature Review. </w:t>
      </w:r>
      <w:r w:rsidRPr="00143C60">
        <w:rPr>
          <w:rFonts w:ascii="Arial Nova" w:hAnsi="Arial Nova"/>
          <w:i/>
          <w:iCs/>
          <w:noProof/>
          <w:sz w:val="24"/>
          <w:szCs w:val="24"/>
        </w:rPr>
        <w:t>JIOSE: Journal of Indonesian Sharia Economics</w:t>
      </w:r>
      <w:r w:rsidRPr="00143C60">
        <w:rPr>
          <w:rFonts w:ascii="Arial Nova" w:hAnsi="Arial Nova"/>
          <w:noProof/>
          <w:sz w:val="24"/>
          <w:szCs w:val="24"/>
        </w:rPr>
        <w:t xml:space="preserve">, </w:t>
      </w:r>
      <w:r w:rsidRPr="00143C60">
        <w:rPr>
          <w:rFonts w:ascii="Arial Nova" w:hAnsi="Arial Nova"/>
          <w:i/>
          <w:iCs/>
          <w:noProof/>
          <w:sz w:val="24"/>
          <w:szCs w:val="24"/>
        </w:rPr>
        <w:t>2</w:t>
      </w:r>
      <w:r w:rsidRPr="00143C60">
        <w:rPr>
          <w:rFonts w:ascii="Arial Nova" w:hAnsi="Arial Nova"/>
          <w:noProof/>
          <w:sz w:val="24"/>
          <w:szCs w:val="24"/>
        </w:rPr>
        <w:t>(2), 171–190. https://doi.org/https://doi.org/10.70338/wasatiyah.v5i2.162</w:t>
      </w:r>
    </w:p>
    <w:p w14:paraId="74439B09" w14:textId="77777777" w:rsidR="00143C60" w:rsidRPr="00143C60" w:rsidRDefault="00143C60" w:rsidP="00143C60">
      <w:pPr>
        <w:widowControl w:val="0"/>
        <w:pBdr>
          <w:top w:val="nil"/>
        </w:pBdr>
        <w:autoSpaceDE w:val="0"/>
        <w:autoSpaceDN w:val="0"/>
        <w:adjustRightInd w:val="0"/>
        <w:ind w:left="480" w:hanging="480"/>
        <w:jc w:val="both"/>
        <w:rPr>
          <w:rFonts w:ascii="Arial Nova" w:hAnsi="Arial Nova"/>
          <w:noProof/>
          <w:sz w:val="24"/>
          <w:szCs w:val="24"/>
        </w:rPr>
      </w:pPr>
      <w:bookmarkStart w:id="3" w:name="Mauludhin"/>
      <w:r w:rsidRPr="00143C60">
        <w:rPr>
          <w:rFonts w:ascii="Arial Nova" w:hAnsi="Arial Nova"/>
          <w:noProof/>
          <w:sz w:val="24"/>
          <w:szCs w:val="24"/>
        </w:rPr>
        <w:t>Mauludhin</w:t>
      </w:r>
      <w:bookmarkEnd w:id="3"/>
      <w:r w:rsidRPr="00143C60">
        <w:rPr>
          <w:rFonts w:ascii="Arial Nova" w:hAnsi="Arial Nova"/>
          <w:noProof/>
          <w:sz w:val="24"/>
          <w:szCs w:val="24"/>
        </w:rPr>
        <w:t xml:space="preserve">, M., &amp; Muis, L. S. (2026). Regulasi terhadap Penggolongan Obat di Indonesia Pasca Undang-Undang Nomor 17 Tahun 2023 Tentang Kesehatan. </w:t>
      </w:r>
      <w:r w:rsidRPr="00143C60">
        <w:rPr>
          <w:rFonts w:ascii="Arial Nova" w:hAnsi="Arial Nova"/>
          <w:i/>
          <w:iCs/>
          <w:noProof/>
          <w:sz w:val="24"/>
          <w:szCs w:val="24"/>
        </w:rPr>
        <w:t>Ganaya: Jurnal Ilmu Sosial Dan Humaniora</w:t>
      </w:r>
      <w:r w:rsidRPr="00143C60">
        <w:rPr>
          <w:rFonts w:ascii="Arial Nova" w:hAnsi="Arial Nova"/>
          <w:noProof/>
          <w:sz w:val="24"/>
          <w:szCs w:val="24"/>
        </w:rPr>
        <w:t xml:space="preserve">, </w:t>
      </w:r>
      <w:r w:rsidRPr="00143C60">
        <w:rPr>
          <w:rFonts w:ascii="Arial Nova" w:hAnsi="Arial Nova"/>
          <w:i/>
          <w:iCs/>
          <w:noProof/>
          <w:sz w:val="24"/>
          <w:szCs w:val="24"/>
        </w:rPr>
        <w:t>9</w:t>
      </w:r>
      <w:r w:rsidRPr="00143C60">
        <w:rPr>
          <w:rFonts w:ascii="Arial Nova" w:hAnsi="Arial Nova"/>
          <w:noProof/>
          <w:sz w:val="24"/>
          <w:szCs w:val="24"/>
        </w:rPr>
        <w:t>(1), 88–102. https://doi.org/https://doi.org/10.37329/ganaya.v9i1.5107</w:t>
      </w:r>
    </w:p>
    <w:p w14:paraId="609F9D61" w14:textId="60891368" w:rsidR="00143C60" w:rsidRPr="00143C60" w:rsidRDefault="00143C60" w:rsidP="00143C60">
      <w:pPr>
        <w:widowControl w:val="0"/>
        <w:pBdr>
          <w:top w:val="nil"/>
        </w:pBdr>
        <w:autoSpaceDE w:val="0"/>
        <w:autoSpaceDN w:val="0"/>
        <w:adjustRightInd w:val="0"/>
        <w:ind w:left="480" w:hanging="480"/>
        <w:jc w:val="both"/>
        <w:rPr>
          <w:rFonts w:ascii="Arial Nova" w:hAnsi="Arial Nova"/>
          <w:noProof/>
          <w:sz w:val="24"/>
          <w:szCs w:val="24"/>
        </w:rPr>
      </w:pPr>
      <w:bookmarkStart w:id="4" w:name="Setiawati"/>
      <w:r w:rsidRPr="00143C60">
        <w:rPr>
          <w:rFonts w:ascii="Arial Nova" w:hAnsi="Arial Nova"/>
          <w:noProof/>
          <w:sz w:val="24"/>
          <w:szCs w:val="24"/>
        </w:rPr>
        <w:t>Setiawati</w:t>
      </w:r>
      <w:bookmarkEnd w:id="4"/>
      <w:r w:rsidRPr="00143C60">
        <w:rPr>
          <w:rFonts w:ascii="Arial Nova" w:hAnsi="Arial Nova"/>
          <w:noProof/>
          <w:sz w:val="24"/>
          <w:szCs w:val="24"/>
        </w:rPr>
        <w:t xml:space="preserve">, S., Latifa, M., Fahiratunisa, A. S., &amp; Marlina, L. (2025). Implementasi dan Kepatuhan Prinsip Halal pada Produk Farmasi dan Kosmetik. </w:t>
      </w:r>
      <w:r w:rsidRPr="00143C60">
        <w:rPr>
          <w:rFonts w:ascii="Arial Nova" w:hAnsi="Arial Nova"/>
          <w:i/>
          <w:iCs/>
          <w:noProof/>
          <w:sz w:val="24"/>
          <w:szCs w:val="24"/>
        </w:rPr>
        <w:t>Jurnal Pajak Dan Analisis</w:t>
      </w:r>
      <w:r w:rsidR="00445A49">
        <w:rPr>
          <w:rFonts w:ascii="Arial Nova" w:hAnsi="Arial Nova"/>
          <w:i/>
          <w:iCs/>
          <w:noProof/>
          <w:sz w:val="24"/>
          <w:szCs w:val="24"/>
        </w:rPr>
        <w:t xml:space="preserve"> </w:t>
      </w:r>
      <w:r w:rsidRPr="00143C60">
        <w:rPr>
          <w:rFonts w:ascii="Arial Nova" w:hAnsi="Arial Nova"/>
          <w:i/>
          <w:iCs/>
          <w:noProof/>
          <w:sz w:val="24"/>
          <w:szCs w:val="24"/>
        </w:rPr>
        <w:t>Ekonomi Syariah (JPAES)</w:t>
      </w:r>
      <w:r w:rsidRPr="00143C60">
        <w:rPr>
          <w:rFonts w:ascii="Arial Nova" w:hAnsi="Arial Nova"/>
          <w:noProof/>
          <w:sz w:val="24"/>
          <w:szCs w:val="24"/>
        </w:rPr>
        <w:t xml:space="preserve">, </w:t>
      </w:r>
      <w:r w:rsidRPr="00143C60">
        <w:rPr>
          <w:rFonts w:ascii="Arial Nova" w:hAnsi="Arial Nova"/>
          <w:i/>
          <w:iCs/>
          <w:noProof/>
          <w:sz w:val="24"/>
          <w:szCs w:val="24"/>
        </w:rPr>
        <w:t>2</w:t>
      </w:r>
      <w:r w:rsidRPr="00143C60">
        <w:rPr>
          <w:rFonts w:ascii="Arial Nova" w:hAnsi="Arial Nova"/>
          <w:noProof/>
          <w:sz w:val="24"/>
          <w:szCs w:val="24"/>
        </w:rPr>
        <w:t>(4), 17–26. https://doi.org/https://doi.org/10.61132/jpaes.v2i4.1573</w:t>
      </w:r>
    </w:p>
    <w:p w14:paraId="66658ED8" w14:textId="77777777" w:rsidR="00143C60" w:rsidRPr="00143C60" w:rsidRDefault="00143C60" w:rsidP="00143C60">
      <w:pPr>
        <w:widowControl w:val="0"/>
        <w:pBdr>
          <w:top w:val="nil"/>
        </w:pBdr>
        <w:autoSpaceDE w:val="0"/>
        <w:autoSpaceDN w:val="0"/>
        <w:adjustRightInd w:val="0"/>
        <w:ind w:left="480" w:hanging="480"/>
        <w:jc w:val="both"/>
        <w:rPr>
          <w:rFonts w:ascii="Arial Nova" w:hAnsi="Arial Nova"/>
          <w:noProof/>
          <w:sz w:val="24"/>
          <w:szCs w:val="24"/>
        </w:rPr>
      </w:pPr>
      <w:bookmarkStart w:id="5" w:name="Sidoretno"/>
      <w:r w:rsidRPr="00143C60">
        <w:rPr>
          <w:rFonts w:ascii="Arial Nova" w:hAnsi="Arial Nova"/>
          <w:noProof/>
          <w:sz w:val="24"/>
          <w:szCs w:val="24"/>
        </w:rPr>
        <w:t>Sidoretno</w:t>
      </w:r>
      <w:bookmarkEnd w:id="5"/>
      <w:r w:rsidRPr="00143C60">
        <w:rPr>
          <w:rFonts w:ascii="Arial Nova" w:hAnsi="Arial Nova"/>
          <w:noProof/>
          <w:sz w:val="24"/>
          <w:szCs w:val="24"/>
        </w:rPr>
        <w:t xml:space="preserve">, W. M., &amp; Oktaviani, I. (2018). Education on the Dangers of Medicinal Chemicals in Traditional Medicine. </w:t>
      </w:r>
      <w:r w:rsidRPr="00143C60">
        <w:rPr>
          <w:rFonts w:ascii="Arial Nova" w:hAnsi="Arial Nova"/>
          <w:i/>
          <w:iCs/>
          <w:noProof/>
          <w:sz w:val="24"/>
          <w:szCs w:val="24"/>
        </w:rPr>
        <w:t>Jurnal Pengabdian Masyarakat Multidisiplin</w:t>
      </w:r>
      <w:r w:rsidRPr="00143C60">
        <w:rPr>
          <w:rFonts w:ascii="Arial Nova" w:hAnsi="Arial Nova"/>
          <w:noProof/>
          <w:sz w:val="24"/>
          <w:szCs w:val="24"/>
        </w:rPr>
        <w:t xml:space="preserve">, </w:t>
      </w:r>
      <w:r w:rsidRPr="00143C60">
        <w:rPr>
          <w:rFonts w:ascii="Arial Nova" w:hAnsi="Arial Nova"/>
          <w:i/>
          <w:iCs/>
          <w:noProof/>
          <w:sz w:val="24"/>
          <w:szCs w:val="24"/>
        </w:rPr>
        <w:t>1</w:t>
      </w:r>
      <w:r w:rsidRPr="00143C60">
        <w:rPr>
          <w:rFonts w:ascii="Arial Nova" w:hAnsi="Arial Nova"/>
          <w:noProof/>
          <w:sz w:val="24"/>
          <w:szCs w:val="24"/>
        </w:rPr>
        <w:t>(2), 117–123. https://doi.org/https://doi.org/10.36341/jpm.v1i2.453</w:t>
      </w:r>
    </w:p>
    <w:p w14:paraId="6125D0EE" w14:textId="77777777" w:rsidR="00143C60" w:rsidRPr="00143C60" w:rsidRDefault="00143C60" w:rsidP="00143C60">
      <w:pPr>
        <w:widowControl w:val="0"/>
        <w:pBdr>
          <w:top w:val="nil"/>
        </w:pBdr>
        <w:autoSpaceDE w:val="0"/>
        <w:autoSpaceDN w:val="0"/>
        <w:adjustRightInd w:val="0"/>
        <w:ind w:left="480" w:hanging="480"/>
        <w:jc w:val="both"/>
        <w:rPr>
          <w:rFonts w:ascii="Arial Nova" w:hAnsi="Arial Nova"/>
          <w:noProof/>
          <w:sz w:val="24"/>
          <w:szCs w:val="24"/>
        </w:rPr>
      </w:pPr>
      <w:bookmarkStart w:id="6" w:name="Subarti"/>
      <w:r w:rsidRPr="00143C60">
        <w:rPr>
          <w:rFonts w:ascii="Arial Nova" w:hAnsi="Arial Nova"/>
          <w:noProof/>
          <w:sz w:val="24"/>
          <w:szCs w:val="24"/>
        </w:rPr>
        <w:t>Subarti</w:t>
      </w:r>
      <w:bookmarkEnd w:id="6"/>
      <w:r w:rsidRPr="00143C60">
        <w:rPr>
          <w:rFonts w:ascii="Arial Nova" w:hAnsi="Arial Nova"/>
          <w:noProof/>
          <w:sz w:val="24"/>
          <w:szCs w:val="24"/>
        </w:rPr>
        <w:t xml:space="preserve">, D., &amp; Sunarmi. (2025). Gambaran Tingkat Pengetahuan tentang Penggolongan Obat dan Jamu pada Ibu-Ibu PKK di Kabupaten Klaten. </w:t>
      </w:r>
      <w:r w:rsidRPr="00143C60">
        <w:rPr>
          <w:rFonts w:ascii="Arial Nova" w:hAnsi="Arial Nova"/>
          <w:i/>
          <w:iCs/>
          <w:noProof/>
          <w:sz w:val="24"/>
          <w:szCs w:val="24"/>
        </w:rPr>
        <w:t>FARMASINDO</w:t>
      </w:r>
      <w:r w:rsidRPr="00143C60">
        <w:rPr>
          <w:rFonts w:ascii="Arial Nova" w:hAnsi="Arial Nova"/>
          <w:noProof/>
          <w:sz w:val="24"/>
          <w:szCs w:val="24"/>
        </w:rPr>
        <w:t xml:space="preserve">, </w:t>
      </w:r>
      <w:r w:rsidRPr="00143C60">
        <w:rPr>
          <w:rFonts w:ascii="Arial Nova" w:hAnsi="Arial Nova"/>
          <w:i/>
          <w:iCs/>
          <w:noProof/>
          <w:sz w:val="24"/>
          <w:szCs w:val="24"/>
        </w:rPr>
        <w:t>9</w:t>
      </w:r>
      <w:r w:rsidRPr="00143C60">
        <w:rPr>
          <w:rFonts w:ascii="Arial Nova" w:hAnsi="Arial Nova"/>
          <w:noProof/>
          <w:sz w:val="24"/>
          <w:szCs w:val="24"/>
        </w:rPr>
        <w:t>(2), 328–334.</w:t>
      </w:r>
    </w:p>
    <w:p w14:paraId="02CD19D9" w14:textId="77777777" w:rsidR="00143C60" w:rsidRPr="00143C60" w:rsidRDefault="00143C60" w:rsidP="00143C60">
      <w:pPr>
        <w:widowControl w:val="0"/>
        <w:pBdr>
          <w:top w:val="nil"/>
        </w:pBdr>
        <w:autoSpaceDE w:val="0"/>
        <w:autoSpaceDN w:val="0"/>
        <w:adjustRightInd w:val="0"/>
        <w:ind w:left="480" w:hanging="480"/>
        <w:jc w:val="both"/>
        <w:rPr>
          <w:rFonts w:ascii="Arial Nova" w:hAnsi="Arial Nova"/>
          <w:noProof/>
          <w:sz w:val="24"/>
          <w:szCs w:val="24"/>
        </w:rPr>
      </w:pPr>
      <w:bookmarkStart w:id="7" w:name="Suseno"/>
      <w:r w:rsidRPr="00143C60">
        <w:rPr>
          <w:rFonts w:ascii="Arial Nova" w:hAnsi="Arial Nova"/>
          <w:noProof/>
          <w:sz w:val="24"/>
          <w:szCs w:val="24"/>
        </w:rPr>
        <w:t>Suseno</w:t>
      </w:r>
      <w:bookmarkEnd w:id="7"/>
      <w:r w:rsidRPr="00143C60">
        <w:rPr>
          <w:rFonts w:ascii="Arial Nova" w:hAnsi="Arial Nova"/>
          <w:noProof/>
          <w:sz w:val="24"/>
          <w:szCs w:val="24"/>
        </w:rPr>
        <w:t xml:space="preserve">, D., &amp; Roswiem, A. P. (2018). Isolasi dan Identifikasi Gelatin pada Sediaan Obat Tablet yang Tidak Berbahan Aktif Protein. </w:t>
      </w:r>
      <w:r w:rsidRPr="00143C60">
        <w:rPr>
          <w:rFonts w:ascii="Arial Nova" w:hAnsi="Arial Nova"/>
          <w:i/>
          <w:iCs/>
          <w:noProof/>
          <w:sz w:val="24"/>
          <w:szCs w:val="24"/>
        </w:rPr>
        <w:t>Jurnal EnviScience (Environment Science)</w:t>
      </w:r>
      <w:r w:rsidRPr="00143C60">
        <w:rPr>
          <w:rFonts w:ascii="Arial Nova" w:hAnsi="Arial Nova"/>
          <w:noProof/>
          <w:sz w:val="24"/>
          <w:szCs w:val="24"/>
        </w:rPr>
        <w:t xml:space="preserve">, </w:t>
      </w:r>
      <w:r w:rsidRPr="00143C60">
        <w:rPr>
          <w:rFonts w:ascii="Arial Nova" w:hAnsi="Arial Nova"/>
          <w:i/>
          <w:iCs/>
          <w:noProof/>
          <w:sz w:val="24"/>
          <w:szCs w:val="24"/>
        </w:rPr>
        <w:t>2</w:t>
      </w:r>
      <w:r w:rsidRPr="00143C60">
        <w:rPr>
          <w:rFonts w:ascii="Arial Nova" w:hAnsi="Arial Nova"/>
          <w:noProof/>
          <w:sz w:val="24"/>
          <w:szCs w:val="24"/>
        </w:rPr>
        <w:t>(2), 85–90. https://doi.org/https://doi.org/10.30736/jev.v2i2.69</w:t>
      </w:r>
    </w:p>
    <w:p w14:paraId="11655614" w14:textId="77777777" w:rsidR="00143C60" w:rsidRPr="00143C60" w:rsidRDefault="00143C60" w:rsidP="00143C60">
      <w:pPr>
        <w:widowControl w:val="0"/>
        <w:pBdr>
          <w:top w:val="nil"/>
        </w:pBdr>
        <w:autoSpaceDE w:val="0"/>
        <w:autoSpaceDN w:val="0"/>
        <w:adjustRightInd w:val="0"/>
        <w:ind w:left="480" w:hanging="480"/>
        <w:jc w:val="both"/>
        <w:rPr>
          <w:rFonts w:ascii="Arial Nova" w:hAnsi="Arial Nova"/>
          <w:noProof/>
          <w:sz w:val="24"/>
          <w:szCs w:val="24"/>
        </w:rPr>
      </w:pPr>
      <w:bookmarkStart w:id="8" w:name="Utami"/>
      <w:r w:rsidRPr="00143C60">
        <w:rPr>
          <w:rFonts w:ascii="Arial Nova" w:hAnsi="Arial Nova"/>
          <w:noProof/>
          <w:sz w:val="24"/>
          <w:szCs w:val="24"/>
        </w:rPr>
        <w:t>Utami</w:t>
      </w:r>
      <w:bookmarkEnd w:id="8"/>
      <w:r w:rsidRPr="00143C60">
        <w:rPr>
          <w:rFonts w:ascii="Arial Nova" w:hAnsi="Arial Nova"/>
          <w:noProof/>
          <w:sz w:val="24"/>
          <w:szCs w:val="24"/>
        </w:rPr>
        <w:t xml:space="preserve">, Z. Z., &amp; Nurkhasanah, N. (2021). Public Perception of Halal Medicine Certification. </w:t>
      </w:r>
      <w:r w:rsidRPr="00143C60">
        <w:rPr>
          <w:rFonts w:ascii="Arial Nova" w:hAnsi="Arial Nova"/>
          <w:i/>
          <w:iCs/>
          <w:noProof/>
          <w:sz w:val="24"/>
          <w:szCs w:val="24"/>
        </w:rPr>
        <w:t>Journal of Halal Science and Research</w:t>
      </w:r>
      <w:r w:rsidRPr="00143C60">
        <w:rPr>
          <w:rFonts w:ascii="Arial Nova" w:hAnsi="Arial Nova"/>
          <w:noProof/>
          <w:sz w:val="24"/>
          <w:szCs w:val="24"/>
        </w:rPr>
        <w:t xml:space="preserve">, </w:t>
      </w:r>
      <w:r w:rsidRPr="00143C60">
        <w:rPr>
          <w:rFonts w:ascii="Arial Nova" w:hAnsi="Arial Nova"/>
          <w:i/>
          <w:iCs/>
          <w:noProof/>
          <w:sz w:val="24"/>
          <w:szCs w:val="24"/>
        </w:rPr>
        <w:t>2</w:t>
      </w:r>
      <w:r w:rsidRPr="00143C60">
        <w:rPr>
          <w:rFonts w:ascii="Arial Nova" w:hAnsi="Arial Nova"/>
          <w:noProof/>
          <w:sz w:val="24"/>
          <w:szCs w:val="24"/>
        </w:rPr>
        <w:t>(2), 51–56. https://doi.org/https://doi.org/10.12928/jhsr.v2i2.3176</w:t>
      </w:r>
    </w:p>
    <w:p w14:paraId="77A3F23D" w14:textId="77777777" w:rsidR="00143C60" w:rsidRPr="00143C60" w:rsidRDefault="00143C60" w:rsidP="00143C60">
      <w:pPr>
        <w:widowControl w:val="0"/>
        <w:pBdr>
          <w:top w:val="nil"/>
        </w:pBdr>
        <w:autoSpaceDE w:val="0"/>
        <w:autoSpaceDN w:val="0"/>
        <w:adjustRightInd w:val="0"/>
        <w:ind w:left="480" w:hanging="480"/>
        <w:jc w:val="both"/>
        <w:rPr>
          <w:rFonts w:ascii="Arial Nova" w:hAnsi="Arial Nova"/>
          <w:noProof/>
          <w:sz w:val="24"/>
          <w:szCs w:val="24"/>
        </w:rPr>
      </w:pPr>
      <w:bookmarkStart w:id="9" w:name="Wahidiyatur"/>
      <w:r w:rsidRPr="00143C60">
        <w:rPr>
          <w:rFonts w:ascii="Arial Nova" w:hAnsi="Arial Nova"/>
          <w:noProof/>
          <w:sz w:val="24"/>
          <w:szCs w:val="24"/>
        </w:rPr>
        <w:t>Wahidiyatur</w:t>
      </w:r>
      <w:bookmarkEnd w:id="9"/>
      <w:r w:rsidRPr="00143C60">
        <w:rPr>
          <w:rFonts w:ascii="Arial Nova" w:hAnsi="Arial Nova"/>
          <w:noProof/>
          <w:sz w:val="24"/>
          <w:szCs w:val="24"/>
        </w:rPr>
        <w:t xml:space="preserve">, N. R., Nafilah, Z., Regina Hartanti, D., Nur Aini, S., Amalia Putri, R., Dwi Anjani, S., Amilia Putri, H., Agustino, F., Dewi, N., Maulidini, C., Anggrayni, R., Meliana J, M. A., &amp; Rahmawati, D. (2024). Artikel Review: Regulasi Obat Tradisional yang Berlaku di Indonesia. </w:t>
      </w:r>
      <w:r w:rsidRPr="00143C60">
        <w:rPr>
          <w:rFonts w:ascii="Arial Nova" w:hAnsi="Arial Nova"/>
          <w:i/>
          <w:iCs/>
          <w:noProof/>
          <w:sz w:val="24"/>
          <w:szCs w:val="24"/>
        </w:rPr>
        <w:t>Jurnal Pelayanan Dan Teknologi Kefarmasian Indonesia</w:t>
      </w:r>
      <w:r w:rsidRPr="00143C60">
        <w:rPr>
          <w:rFonts w:ascii="Arial Nova" w:hAnsi="Arial Nova"/>
          <w:noProof/>
          <w:sz w:val="24"/>
          <w:szCs w:val="24"/>
        </w:rPr>
        <w:t xml:space="preserve">, </w:t>
      </w:r>
      <w:r w:rsidRPr="00143C60">
        <w:rPr>
          <w:rFonts w:ascii="Arial Nova" w:hAnsi="Arial Nova"/>
          <w:i/>
          <w:iCs/>
          <w:noProof/>
          <w:sz w:val="24"/>
          <w:szCs w:val="24"/>
        </w:rPr>
        <w:t>01</w:t>
      </w:r>
      <w:r w:rsidRPr="00143C60">
        <w:rPr>
          <w:rFonts w:ascii="Arial Nova" w:hAnsi="Arial Nova"/>
          <w:noProof/>
          <w:sz w:val="24"/>
          <w:szCs w:val="24"/>
        </w:rPr>
        <w:t>(01), 10–16. https://doi.org/https://doi.org/10.66340/wmjff888</w:t>
      </w:r>
    </w:p>
    <w:p w14:paraId="67910F1C" w14:textId="77777777" w:rsidR="00143C60" w:rsidRPr="00143C60" w:rsidRDefault="00143C60" w:rsidP="00143C60">
      <w:pPr>
        <w:widowControl w:val="0"/>
        <w:pBdr>
          <w:top w:val="nil"/>
        </w:pBdr>
        <w:autoSpaceDE w:val="0"/>
        <w:autoSpaceDN w:val="0"/>
        <w:adjustRightInd w:val="0"/>
        <w:ind w:left="480" w:hanging="480"/>
        <w:jc w:val="both"/>
        <w:rPr>
          <w:rFonts w:ascii="Arial Nova" w:hAnsi="Arial Nova"/>
          <w:noProof/>
          <w:sz w:val="24"/>
        </w:rPr>
      </w:pPr>
      <w:bookmarkStart w:id="10" w:name="Warto"/>
      <w:r w:rsidRPr="00143C60">
        <w:rPr>
          <w:rFonts w:ascii="Arial Nova" w:hAnsi="Arial Nova"/>
          <w:noProof/>
          <w:sz w:val="24"/>
          <w:szCs w:val="24"/>
        </w:rPr>
        <w:t>Warto</w:t>
      </w:r>
      <w:bookmarkEnd w:id="10"/>
      <w:r w:rsidRPr="00143C60">
        <w:rPr>
          <w:rFonts w:ascii="Arial Nova" w:hAnsi="Arial Nova"/>
          <w:noProof/>
          <w:sz w:val="24"/>
          <w:szCs w:val="24"/>
        </w:rPr>
        <w:t xml:space="preserve">, W., &amp; Arif, Z. (2020). Bisnis Produk Halal antara Peluang dan Tantangan, Problematika dan Solusinya. </w:t>
      </w:r>
      <w:r w:rsidRPr="00143C60">
        <w:rPr>
          <w:rFonts w:ascii="Arial Nova" w:hAnsi="Arial Nova"/>
          <w:i/>
          <w:iCs/>
          <w:noProof/>
          <w:sz w:val="24"/>
          <w:szCs w:val="24"/>
        </w:rPr>
        <w:t>Al-Ulum</w:t>
      </w:r>
      <w:r w:rsidRPr="00143C60">
        <w:rPr>
          <w:rFonts w:ascii="Arial Nova" w:hAnsi="Arial Nova"/>
          <w:noProof/>
          <w:sz w:val="24"/>
          <w:szCs w:val="24"/>
        </w:rPr>
        <w:t xml:space="preserve">, </w:t>
      </w:r>
      <w:r w:rsidRPr="00143C60">
        <w:rPr>
          <w:rFonts w:ascii="Arial Nova" w:hAnsi="Arial Nova"/>
          <w:i/>
          <w:iCs/>
          <w:noProof/>
          <w:sz w:val="24"/>
          <w:szCs w:val="24"/>
        </w:rPr>
        <w:t>20</w:t>
      </w:r>
      <w:r w:rsidRPr="00143C60">
        <w:rPr>
          <w:rFonts w:ascii="Arial Nova" w:hAnsi="Arial Nova"/>
          <w:noProof/>
          <w:sz w:val="24"/>
          <w:szCs w:val="24"/>
        </w:rPr>
        <w:t>(1), 274–294. https://doi.org/10.30603/au.v20i1.1170</w:t>
      </w:r>
    </w:p>
    <w:p w14:paraId="26120DB0" w14:textId="27CE8D76" w:rsidR="00AA5D36" w:rsidRDefault="00143C60" w:rsidP="00143C60">
      <w:pPr>
        <w:pBdr>
          <w:top w:val="nil"/>
          <w:left w:val="nil"/>
          <w:bottom w:val="nil"/>
          <w:right w:val="nil"/>
          <w:between w:val="nil"/>
        </w:pBdr>
        <w:tabs>
          <w:tab w:val="left" w:pos="426"/>
        </w:tabs>
        <w:spacing w:after="240"/>
        <w:jc w:val="both"/>
        <w:rPr>
          <w:rFonts w:ascii="Arial Nova" w:eastAsia="Arial" w:hAnsi="Arial Nova" w:cs="Arial"/>
          <w:b/>
          <w:bCs/>
          <w:sz w:val="24"/>
          <w:szCs w:val="24"/>
        </w:rPr>
      </w:pPr>
      <w:r>
        <w:rPr>
          <w:rFonts w:ascii="Arial Nova" w:eastAsia="Arial" w:hAnsi="Arial Nova" w:cs="Arial"/>
          <w:b/>
          <w:bCs/>
          <w:sz w:val="24"/>
          <w:szCs w:val="24"/>
        </w:rPr>
        <w:fldChar w:fldCharType="end"/>
      </w:r>
    </w:p>
    <w:p w14:paraId="3FA59E2D" w14:textId="77777777" w:rsidR="00AA5D36" w:rsidRPr="00AA5D36" w:rsidRDefault="00AA5D36" w:rsidP="00AA5D36">
      <w:pPr>
        <w:pBdr>
          <w:top w:val="nil"/>
          <w:left w:val="nil"/>
          <w:bottom w:val="nil"/>
          <w:right w:val="nil"/>
          <w:between w:val="nil"/>
        </w:pBdr>
        <w:tabs>
          <w:tab w:val="left" w:pos="426"/>
        </w:tabs>
        <w:ind w:left="426"/>
        <w:jc w:val="both"/>
        <w:rPr>
          <w:rFonts w:ascii="Arial Nova" w:eastAsia="Arial" w:hAnsi="Arial Nova" w:cs="Arial"/>
          <w:bCs/>
          <w:sz w:val="24"/>
          <w:szCs w:val="24"/>
        </w:rPr>
      </w:pPr>
    </w:p>
    <w:sectPr w:rsidR="00AA5D36" w:rsidRPr="00AA5D36" w:rsidSect="00473614">
      <w:footerReference w:type="even" r:id="rId34"/>
      <w:pgSz w:w="11909" w:h="16834"/>
      <w:pgMar w:top="1418"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C8B902" w14:textId="77777777" w:rsidR="00430EED" w:rsidRDefault="00430EED">
      <w:r>
        <w:separator/>
      </w:r>
    </w:p>
  </w:endnote>
  <w:endnote w:type="continuationSeparator" w:id="0">
    <w:p w14:paraId="1D380F57" w14:textId="77777777" w:rsidR="00430EED" w:rsidRDefault="00430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91B97C8-9386-4FF8-A657-CA34A1C9D168}"/>
  </w:font>
  <w:font w:name="Arial Nova">
    <w:altName w:val="Arial"/>
    <w:charset w:val="00"/>
    <w:family w:val="swiss"/>
    <w:pitch w:val="variable"/>
    <w:sig w:usb0="0000028F" w:usb1="00000002" w:usb2="00000000" w:usb3="00000000" w:csb0="0000019F" w:csb1="00000000"/>
    <w:embedRegular r:id="rId2" w:fontKey="{CB74FBAD-ED0A-46F4-8C8E-61BEB63BA900}"/>
    <w:embedBold r:id="rId3" w:fontKey="{87E405EE-2477-4E01-A07A-57E24FA2DBB7}"/>
    <w:embedItalic r:id="rId4" w:fontKey="{7CB86FE5-06D7-4D55-BFC8-8F3BB42AED3B}"/>
    <w:embedBoldItalic r:id="rId5" w:fontKey="{EFF7C935-947F-4B4E-8B58-25CB0D2D1032}"/>
  </w:font>
  <w:font w:name="Cambria">
    <w:panose1 w:val="02040503050406030204"/>
    <w:charset w:val="00"/>
    <w:family w:val="roman"/>
    <w:pitch w:val="variable"/>
    <w:sig w:usb0="E00006FF" w:usb1="420024FF" w:usb2="02000000" w:usb3="00000000" w:csb0="0000019F" w:csb1="00000000"/>
    <w:embedRegular r:id="rId6" w:fontKey="{479403E4-4E37-4B31-8816-13599ADE19FF}"/>
  </w:font>
  <w:font w:name="Palatino Linotype">
    <w:charset w:val="00"/>
    <w:family w:val="roman"/>
    <w:pitch w:val="variable"/>
    <w:sig w:usb0="E0000287" w:usb1="40000013" w:usb2="00000000" w:usb3="00000000" w:csb0="0000019F" w:csb1="00000000"/>
    <w:embedRegular r:id="rId7" w:fontKey="{E1F20C6A-0B8B-4434-84E4-EEDD78E8E43E}"/>
    <w:embedBold r:id="rId8" w:fontKey="{B0A500F8-1E39-4F09-BB63-D7F87C6ECEFA}"/>
    <w:embedItalic r:id="rId9" w:fontKey="{5ED14DC0-986E-45A8-97E6-81CF828BF5DE}"/>
  </w:font>
  <w:font w:name="Calibri">
    <w:panose1 w:val="020F0502020204030204"/>
    <w:charset w:val="00"/>
    <w:family w:val="swiss"/>
    <w:pitch w:val="variable"/>
    <w:sig w:usb0="E4002EFF" w:usb1="C000247B" w:usb2="00000009" w:usb3="00000000" w:csb0="000001FF" w:csb1="00000000"/>
    <w:embedRegular r:id="rId10" w:fontKey="{BF7B411C-3762-4551-9D13-643E2C95D4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C2237" w14:textId="6F00E61D" w:rsidR="005A4FC0" w:rsidRPr="00473614" w:rsidRDefault="00473614" w:rsidP="00473614">
    <w:pPr>
      <w:pBdr>
        <w:top w:val="single" w:sz="4" w:space="1" w:color="000000"/>
        <w:left w:val="nil"/>
        <w:bottom w:val="nil"/>
        <w:right w:val="nil"/>
        <w:between w:val="nil"/>
      </w:pBdr>
      <w:tabs>
        <w:tab w:val="center" w:pos="4513"/>
        <w:tab w:val="right" w:pos="9026"/>
        <w:tab w:val="center" w:pos="4680"/>
        <w:tab w:val="right" w:pos="9360"/>
      </w:tabs>
      <w:jc w:val="right"/>
      <w:rPr>
        <w:color w:val="000000"/>
        <w:sz w:val="22"/>
        <w:szCs w:val="22"/>
        <w:lang w:val="en-US"/>
      </w:rPr>
    </w:pPr>
    <w:r>
      <w:rPr>
        <w:color w:val="000000"/>
        <w:sz w:val="22"/>
        <w:szCs w:val="22"/>
        <w:lang w:val="en-US"/>
      </w:rPr>
      <w:t>37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9C825" w14:textId="1ED157D8" w:rsidR="005A4FC0" w:rsidRDefault="00C76877">
    <w:pPr>
      <w:pBdr>
        <w:top w:val="single" w:sz="4" w:space="1" w:color="000000"/>
        <w:left w:val="nil"/>
        <w:bottom w:val="nil"/>
        <w:right w:val="nil"/>
        <w:between w:val="nil"/>
      </w:pBdr>
      <w:tabs>
        <w:tab w:val="center" w:pos="4513"/>
        <w:tab w:val="right" w:pos="9026"/>
        <w:tab w:val="left" w:pos="2805"/>
        <w:tab w:val="center" w:pos="4680"/>
        <w:tab w:val="right" w:pos="9360"/>
        <w:tab w:val="right" w:pos="9639"/>
      </w:tabs>
      <w:jc w:val="left"/>
      <w:rPr>
        <w:color w:val="000000"/>
      </w:rPr>
    </w:pPr>
    <w:r>
      <w:rPr>
        <w:color w:val="000000"/>
      </w:rPr>
      <w:tab/>
    </w:r>
    <w:r>
      <w:rPr>
        <w:color w:val="000000"/>
      </w:rPr>
      <w:tab/>
    </w:r>
    <w:r>
      <w:rPr>
        <w:color w:val="000000"/>
      </w:rPr>
      <w:tab/>
    </w:r>
    <w:r>
      <w:rPr>
        <w:color w:val="000000"/>
      </w:rPr>
      <w:tab/>
    </w:r>
    <w:r w:rsidR="00473614">
      <w:rPr>
        <w:color w:val="000000"/>
      </w:rPr>
      <w:t>36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F7D43" w14:textId="0AFBD5AB" w:rsidR="00473614" w:rsidRDefault="00473614">
    <w:pPr>
      <w:pBdr>
        <w:top w:val="single" w:sz="4" w:space="1" w:color="000000"/>
        <w:left w:val="nil"/>
        <w:bottom w:val="nil"/>
        <w:right w:val="nil"/>
        <w:between w:val="nil"/>
      </w:pBdr>
      <w:tabs>
        <w:tab w:val="center" w:pos="4513"/>
        <w:tab w:val="right" w:pos="9026"/>
        <w:tab w:val="left" w:pos="2805"/>
        <w:tab w:val="center" w:pos="4680"/>
        <w:tab w:val="right" w:pos="9360"/>
        <w:tab w:val="right" w:pos="9639"/>
      </w:tabs>
      <w:jc w:val="left"/>
      <w:rPr>
        <w:color w:val="000000"/>
      </w:rPr>
    </w:pPr>
    <w:r>
      <w:rPr>
        <w:color w:val="000000"/>
      </w:rPr>
      <w:tab/>
    </w:r>
    <w:r>
      <w:rPr>
        <w:color w:val="000000"/>
      </w:rPr>
      <w:tab/>
    </w:r>
    <w:r>
      <w:rPr>
        <w:color w:val="000000"/>
      </w:rPr>
      <w:tab/>
    </w:r>
    <w:r>
      <w:rPr>
        <w:color w:val="000000"/>
      </w:rPr>
      <w:tab/>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CCE07" w14:textId="5654C42B" w:rsidR="00473614" w:rsidRPr="00473614" w:rsidRDefault="00473614" w:rsidP="00473614">
    <w:pPr>
      <w:pBdr>
        <w:top w:val="single" w:sz="4" w:space="1" w:color="000000"/>
        <w:left w:val="nil"/>
        <w:bottom w:val="nil"/>
        <w:right w:val="nil"/>
        <w:between w:val="nil"/>
      </w:pBdr>
      <w:tabs>
        <w:tab w:val="center" w:pos="4513"/>
        <w:tab w:val="right" w:pos="9026"/>
        <w:tab w:val="center" w:pos="4680"/>
        <w:tab w:val="right" w:pos="9360"/>
      </w:tabs>
      <w:jc w:val="right"/>
      <w:rPr>
        <w:color w:val="000000"/>
        <w:sz w:val="22"/>
        <w:szCs w:val="22"/>
        <w:lang w:val="en-US"/>
      </w:rPr>
    </w:pPr>
    <w:r>
      <w:rPr>
        <w:color w:val="000000"/>
        <w:sz w:val="22"/>
        <w:szCs w:val="22"/>
        <w:lang w:val="en-US"/>
      </w:rPr>
      <w:t>39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2DFE8" w14:textId="056CCABF" w:rsidR="001B201F" w:rsidRDefault="001B201F">
    <w:pPr>
      <w:pBdr>
        <w:top w:val="single" w:sz="4" w:space="1" w:color="000000"/>
        <w:left w:val="nil"/>
        <w:bottom w:val="nil"/>
        <w:right w:val="nil"/>
        <w:between w:val="nil"/>
      </w:pBdr>
      <w:tabs>
        <w:tab w:val="center" w:pos="4513"/>
        <w:tab w:val="right" w:pos="9026"/>
        <w:tab w:val="left" w:pos="2805"/>
        <w:tab w:val="center" w:pos="4680"/>
        <w:tab w:val="right" w:pos="9360"/>
        <w:tab w:val="right" w:pos="9639"/>
      </w:tabs>
      <w:jc w:val="left"/>
      <w:rPr>
        <w:color w:val="000000"/>
      </w:rPr>
    </w:pPr>
    <w:r>
      <w:rPr>
        <w:color w:val="000000"/>
      </w:rPr>
      <w:tab/>
    </w:r>
    <w:r>
      <w:rPr>
        <w:color w:val="000000"/>
      </w:rPr>
      <w:tab/>
    </w:r>
    <w:r>
      <w:rPr>
        <w:color w:val="000000"/>
      </w:rPr>
      <w:tab/>
    </w:r>
    <w:r>
      <w:rPr>
        <w:color w:val="000000"/>
      </w:rPr>
      <w:tab/>
      <w:t>40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A55B4" w14:textId="5D6B42D9" w:rsidR="001B201F" w:rsidRPr="00473614" w:rsidRDefault="001B201F" w:rsidP="00473614">
    <w:pPr>
      <w:pBdr>
        <w:top w:val="single" w:sz="4" w:space="1" w:color="000000"/>
        <w:left w:val="nil"/>
        <w:bottom w:val="nil"/>
        <w:right w:val="nil"/>
        <w:between w:val="nil"/>
      </w:pBdr>
      <w:tabs>
        <w:tab w:val="center" w:pos="4513"/>
        <w:tab w:val="right" w:pos="9026"/>
        <w:tab w:val="center" w:pos="4680"/>
        <w:tab w:val="right" w:pos="9360"/>
      </w:tabs>
      <w:jc w:val="right"/>
      <w:rPr>
        <w:color w:val="000000"/>
        <w:sz w:val="22"/>
        <w:szCs w:val="22"/>
        <w:lang w:val="en-US"/>
      </w:rPr>
    </w:pPr>
    <w:r>
      <w:rPr>
        <w:color w:val="000000"/>
        <w:sz w:val="22"/>
        <w:szCs w:val="22"/>
        <w:lang w:val="en-US"/>
      </w:rPr>
      <w:t>41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687D2" w14:textId="7EBA2251" w:rsidR="00473614" w:rsidRDefault="00473614">
    <w:pPr>
      <w:pBdr>
        <w:top w:val="single" w:sz="4" w:space="1" w:color="000000"/>
        <w:left w:val="nil"/>
        <w:bottom w:val="nil"/>
        <w:right w:val="nil"/>
        <w:between w:val="nil"/>
      </w:pBdr>
      <w:tabs>
        <w:tab w:val="center" w:pos="4513"/>
        <w:tab w:val="right" w:pos="9026"/>
        <w:tab w:val="left" w:pos="2805"/>
        <w:tab w:val="center" w:pos="4680"/>
        <w:tab w:val="right" w:pos="9360"/>
        <w:tab w:val="right" w:pos="9639"/>
      </w:tabs>
      <w:jc w:val="left"/>
      <w:rPr>
        <w:color w:val="000000"/>
      </w:rPr>
    </w:pPr>
    <w:r>
      <w:rPr>
        <w:color w:val="000000"/>
      </w:rPr>
      <w:tab/>
    </w:r>
    <w:r>
      <w:rPr>
        <w:color w:val="000000"/>
      </w:rPr>
      <w:tab/>
    </w:r>
    <w:r>
      <w:rPr>
        <w:color w:val="000000"/>
      </w:rPr>
      <w:tab/>
    </w:r>
    <w:r>
      <w:rPr>
        <w:color w:val="000000"/>
      </w:rPr>
      <w:tab/>
    </w:r>
    <w:r w:rsidR="001B201F">
      <w:rPr>
        <w:color w:val="000000"/>
      </w:rPr>
      <w:t>42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F26C2" w14:textId="74D1BC99" w:rsidR="001B201F" w:rsidRPr="00473614" w:rsidRDefault="001B201F" w:rsidP="00473614">
    <w:pPr>
      <w:pBdr>
        <w:top w:val="single" w:sz="4" w:space="1" w:color="000000"/>
        <w:left w:val="nil"/>
        <w:bottom w:val="nil"/>
        <w:right w:val="nil"/>
        <w:between w:val="nil"/>
      </w:pBdr>
      <w:tabs>
        <w:tab w:val="center" w:pos="4513"/>
        <w:tab w:val="right" w:pos="9026"/>
        <w:tab w:val="center" w:pos="4680"/>
        <w:tab w:val="right" w:pos="9360"/>
      </w:tabs>
      <w:jc w:val="right"/>
      <w:rPr>
        <w:color w:val="000000"/>
        <w:sz w:val="22"/>
        <w:szCs w:val="22"/>
        <w:lang w:val="en-US"/>
      </w:rPr>
    </w:pPr>
    <w:r>
      <w:rPr>
        <w:color w:val="000000"/>
        <w:sz w:val="22"/>
        <w:szCs w:val="22"/>
        <w:lang w:val="en-US"/>
      </w:rPr>
      <w:t>43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EA7035" w14:textId="77777777" w:rsidR="00430EED" w:rsidRDefault="00430EED">
      <w:r>
        <w:separator/>
      </w:r>
    </w:p>
  </w:footnote>
  <w:footnote w:type="continuationSeparator" w:id="0">
    <w:p w14:paraId="117EB6FE" w14:textId="77777777" w:rsidR="00430EED" w:rsidRDefault="00430E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9CE79" w14:textId="20350D53" w:rsidR="005A4FC0" w:rsidRDefault="00C76877">
    <w:pPr>
      <w:pBdr>
        <w:top w:val="nil"/>
        <w:left w:val="nil"/>
        <w:bottom w:val="single" w:sz="4" w:space="1" w:color="000000"/>
        <w:right w:val="nil"/>
        <w:between w:val="nil"/>
      </w:pBdr>
      <w:tabs>
        <w:tab w:val="center" w:pos="4513"/>
        <w:tab w:val="right" w:pos="9026"/>
        <w:tab w:val="center" w:pos="4680"/>
        <w:tab w:val="right" w:pos="9639"/>
      </w:tabs>
      <w:jc w:val="left"/>
      <w:rPr>
        <w:color w:val="000000"/>
        <w:sz w:val="22"/>
        <w:szCs w:val="22"/>
      </w:rPr>
    </w:pPr>
    <w:r>
      <w:rPr>
        <w:color w:val="000000"/>
        <w:sz w:val="22"/>
        <w:szCs w:val="22"/>
      </w:rPr>
      <w:t xml:space="preserve">Jurnal Penelitian dan Pengabdian </w:t>
    </w:r>
    <w:r w:rsidR="001B201F">
      <w:rPr>
        <w:color w:val="000000"/>
        <w:sz w:val="22"/>
        <w:szCs w:val="22"/>
      </w:rPr>
      <w:t>Kepada Masyarakat NURAGA, Vol. 2</w:t>
    </w:r>
    <w:r>
      <w:rPr>
        <w:color w:val="000000"/>
        <w:sz w:val="22"/>
        <w:szCs w:val="22"/>
      </w:rPr>
      <w:t xml:space="preserve"> No. 1</w:t>
    </w:r>
  </w:p>
  <w:p w14:paraId="6B02D88A" w14:textId="15329763" w:rsidR="005A4FC0" w:rsidRDefault="00C76877">
    <w:pPr>
      <w:pBdr>
        <w:top w:val="nil"/>
        <w:left w:val="nil"/>
        <w:bottom w:val="single" w:sz="4" w:space="1" w:color="000000"/>
        <w:right w:val="nil"/>
        <w:between w:val="nil"/>
      </w:pBdr>
      <w:tabs>
        <w:tab w:val="center" w:pos="4513"/>
        <w:tab w:val="right" w:pos="9026"/>
        <w:tab w:val="center" w:pos="4680"/>
        <w:tab w:val="right" w:pos="9639"/>
      </w:tabs>
      <w:jc w:val="left"/>
      <w:rPr>
        <w:color w:val="000000"/>
        <w:sz w:val="22"/>
        <w:szCs w:val="22"/>
      </w:rPr>
    </w:pPr>
    <w:r>
      <w:rPr>
        <w:color w:val="000000"/>
        <w:sz w:val="22"/>
        <w:szCs w:val="22"/>
      </w:rPr>
      <w:t xml:space="preserve">ISSN (online): </w:t>
    </w:r>
    <w:r w:rsidR="001B201F" w:rsidRPr="0024573A">
      <w:rPr>
        <w:rFonts w:asciiTheme="majorBidi" w:eastAsiaTheme="minorHAnsi" w:hAnsiTheme="majorBidi" w:cstheme="majorBidi"/>
        <w:sz w:val="22"/>
        <w:szCs w:val="22"/>
      </w:rPr>
      <w:t>3123-7347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41C35" w14:textId="77777777" w:rsidR="005A4FC0" w:rsidRDefault="00C76877">
    <w:pPr>
      <w:pBdr>
        <w:top w:val="nil"/>
        <w:left w:val="nil"/>
        <w:bottom w:val="single" w:sz="4" w:space="1" w:color="000000"/>
        <w:right w:val="nil"/>
        <w:between w:val="nil"/>
      </w:pBdr>
      <w:tabs>
        <w:tab w:val="center" w:pos="4513"/>
        <w:tab w:val="right" w:pos="9026"/>
        <w:tab w:val="center" w:pos="4680"/>
        <w:tab w:val="right" w:pos="9639"/>
      </w:tabs>
      <w:jc w:val="left"/>
      <w:rPr>
        <w:color w:val="000000"/>
        <w:sz w:val="22"/>
        <w:szCs w:val="22"/>
      </w:rPr>
    </w:pPr>
    <w:r>
      <w:rPr>
        <w:noProof/>
        <w:color w:val="000000"/>
        <w:sz w:val="22"/>
        <w:szCs w:val="22"/>
        <w:lang w:val="en-US" w:eastAsia="en-US"/>
      </w:rPr>
      <w:drawing>
        <wp:inline distT="0" distB="0" distL="0" distR="0" wp14:anchorId="5503386F" wp14:editId="7798D0B7">
          <wp:extent cx="6122035" cy="78232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2035" cy="782320"/>
                  </a:xfrm>
                  <a:prstGeom prst="rect">
                    <a:avLst/>
                  </a:prstGeom>
                  <a:ln/>
                </pic:spPr>
              </pic:pic>
            </a:graphicData>
          </a:graphic>
        </wp:inline>
      </w:drawing>
    </w:r>
    <w:r>
      <w:rPr>
        <w:color w:val="000000"/>
        <w:sz w:val="22"/>
        <w:szCs w:val="22"/>
      </w:rPr>
      <w:t xml:space="preserve"> </w:t>
    </w:r>
  </w:p>
  <w:p w14:paraId="451AE6D5" w14:textId="77777777" w:rsidR="005A4FC0" w:rsidRDefault="00430EED">
    <w:pPr>
      <w:pBdr>
        <w:top w:val="nil"/>
        <w:left w:val="nil"/>
        <w:bottom w:val="single" w:sz="4" w:space="1" w:color="000000"/>
        <w:right w:val="nil"/>
        <w:between w:val="nil"/>
      </w:pBdr>
      <w:tabs>
        <w:tab w:val="center" w:pos="4513"/>
        <w:tab w:val="right" w:pos="9026"/>
        <w:tab w:val="center" w:pos="4680"/>
        <w:tab w:val="right" w:pos="9639"/>
      </w:tabs>
      <w:rPr>
        <w:color w:val="000000"/>
        <w:sz w:val="22"/>
        <w:szCs w:val="22"/>
      </w:rPr>
    </w:pPr>
    <w:hyperlink r:id="rId2">
      <w:r w:rsidR="005A4FC0">
        <w:rPr>
          <w:color w:val="0000FF"/>
          <w:sz w:val="22"/>
          <w:szCs w:val="22"/>
          <w:u w:val="single"/>
        </w:rPr>
        <w:t>https://journal.uniga.ac.id/index.php/NURAGA/index</w:t>
      </w:r>
    </w:hyperlink>
  </w:p>
  <w:p w14:paraId="34166175" w14:textId="7E1C45EA" w:rsidR="005A4FC0" w:rsidRDefault="00380FE9">
    <w:pPr>
      <w:pBdr>
        <w:top w:val="nil"/>
        <w:left w:val="nil"/>
        <w:bottom w:val="single" w:sz="4" w:space="1" w:color="000000"/>
        <w:right w:val="nil"/>
        <w:between w:val="nil"/>
      </w:pBdr>
      <w:tabs>
        <w:tab w:val="center" w:pos="4513"/>
        <w:tab w:val="right" w:pos="9026"/>
        <w:tab w:val="center" w:pos="4680"/>
        <w:tab w:val="right" w:pos="9639"/>
      </w:tabs>
      <w:rPr>
        <w:color w:val="000000"/>
        <w:sz w:val="22"/>
        <w:szCs w:val="22"/>
      </w:rPr>
    </w:pPr>
    <w:r>
      <w:rPr>
        <w:color w:val="000000"/>
        <w:sz w:val="22"/>
        <w:szCs w:val="22"/>
      </w:rPr>
      <w:t>Vol. 2 No. 1</w:t>
    </w:r>
    <w:r w:rsidR="001B201F">
      <w:rPr>
        <w:color w:val="000000"/>
        <w:sz w:val="22"/>
        <w:szCs w:val="22"/>
      </w:rPr>
      <w:t>, 36 – 43</w:t>
    </w:r>
    <w:r w:rsidR="00C76877">
      <w:rPr>
        <w:color w:val="000000"/>
        <w:sz w:val="22"/>
        <w:szCs w:val="22"/>
      </w:rPr>
      <w:t xml:space="preserve"> ISSN (online):</w:t>
    </w:r>
    <w:r w:rsidR="00473614">
      <w:rPr>
        <w:color w:val="000000"/>
        <w:sz w:val="22"/>
        <w:szCs w:val="22"/>
      </w:rPr>
      <w:t xml:space="preserve"> </w:t>
    </w:r>
    <w:r w:rsidR="00473614" w:rsidRPr="0024573A">
      <w:rPr>
        <w:rFonts w:asciiTheme="majorBidi" w:eastAsiaTheme="minorHAnsi" w:hAnsiTheme="majorBidi" w:cstheme="majorBidi"/>
        <w:sz w:val="22"/>
        <w:szCs w:val="22"/>
      </w:rPr>
      <w:t>3123-7347</w:t>
    </w:r>
  </w:p>
  <w:p w14:paraId="59A58471" w14:textId="77777777" w:rsidR="005A4FC0" w:rsidRDefault="005A4FC0">
    <w:pPr>
      <w:pBdr>
        <w:top w:val="nil"/>
        <w:left w:val="nil"/>
        <w:bottom w:val="single" w:sz="4" w:space="1" w:color="000000"/>
        <w:right w:val="nil"/>
        <w:between w:val="nil"/>
      </w:pBdr>
      <w:tabs>
        <w:tab w:val="center" w:pos="4513"/>
        <w:tab w:val="right" w:pos="9026"/>
        <w:tab w:val="center" w:pos="4680"/>
        <w:tab w:val="right" w:pos="9639"/>
      </w:tabs>
      <w:rPr>
        <w:color w:val="00000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613B57"/>
    <w:multiLevelType w:val="multilevel"/>
    <w:tmpl w:val="710EC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embedTrueTypeFonts/>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FC0"/>
    <w:rsid w:val="000148A1"/>
    <w:rsid w:val="000D76A1"/>
    <w:rsid w:val="001142C0"/>
    <w:rsid w:val="00143C60"/>
    <w:rsid w:val="001B201F"/>
    <w:rsid w:val="002C3C2E"/>
    <w:rsid w:val="00380FE9"/>
    <w:rsid w:val="00430EED"/>
    <w:rsid w:val="00445A49"/>
    <w:rsid w:val="00473614"/>
    <w:rsid w:val="005A2091"/>
    <w:rsid w:val="005A4FC0"/>
    <w:rsid w:val="00600868"/>
    <w:rsid w:val="006A13CE"/>
    <w:rsid w:val="006A16BB"/>
    <w:rsid w:val="0076446A"/>
    <w:rsid w:val="00850159"/>
    <w:rsid w:val="0088435E"/>
    <w:rsid w:val="008B0016"/>
    <w:rsid w:val="008B349A"/>
    <w:rsid w:val="00910227"/>
    <w:rsid w:val="00921E48"/>
    <w:rsid w:val="00AA5D36"/>
    <w:rsid w:val="00AB6D24"/>
    <w:rsid w:val="00AD10D7"/>
    <w:rsid w:val="00AD5CB1"/>
    <w:rsid w:val="00B32942"/>
    <w:rsid w:val="00C76877"/>
    <w:rsid w:val="00CC4694"/>
    <w:rsid w:val="00DD792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51CE1"/>
  <w15:docId w15:val="{BFA200BC-0045-4BFC-BBCF-C26FC1CF1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 w:eastAsia="en-ID"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tabs>
        <w:tab w:val="left" w:pos="216"/>
      </w:tabs>
      <w:spacing w:before="160" w:after="80"/>
      <w:ind w:firstLine="216"/>
      <w:outlineLvl w:val="0"/>
    </w:pPr>
    <w:rPr>
      <w:smallCaps/>
    </w:rPr>
  </w:style>
  <w:style w:type="paragraph" w:styleId="Heading2">
    <w:name w:val="heading 2"/>
    <w:basedOn w:val="Normal"/>
    <w:next w:val="Normal"/>
    <w:uiPriority w:val="9"/>
    <w:semiHidden/>
    <w:unhideWhenUsed/>
    <w:qFormat/>
    <w:pPr>
      <w:keepNext/>
      <w:keepLines/>
      <w:spacing w:before="120" w:after="60"/>
      <w:ind w:left="288" w:hanging="288"/>
      <w:jc w:val="left"/>
      <w:outlineLvl w:val="1"/>
    </w:pPr>
    <w:rPr>
      <w:i/>
      <w:iCs/>
    </w:rPr>
  </w:style>
  <w:style w:type="paragraph" w:styleId="Heading3">
    <w:name w:val="heading 3"/>
    <w:basedOn w:val="Normal"/>
    <w:next w:val="Normal"/>
    <w:uiPriority w:val="9"/>
    <w:semiHidden/>
    <w:unhideWhenUsed/>
    <w:qFormat/>
    <w:pPr>
      <w:ind w:firstLine="180"/>
      <w:jc w:val="both"/>
      <w:outlineLvl w:val="2"/>
    </w:pPr>
    <w:rPr>
      <w:i/>
      <w:iCs/>
    </w:rPr>
  </w:style>
  <w:style w:type="paragraph" w:styleId="Heading4">
    <w:name w:val="heading 4"/>
    <w:basedOn w:val="Normal"/>
    <w:next w:val="Normal"/>
    <w:uiPriority w:val="9"/>
    <w:semiHidden/>
    <w:unhideWhenUsed/>
    <w:qFormat/>
    <w:pPr>
      <w:spacing w:before="40" w:after="40"/>
      <w:ind w:firstLine="360"/>
      <w:jc w:val="both"/>
      <w:outlineLvl w:val="3"/>
    </w:pPr>
    <w:rPr>
      <w:i/>
      <w:iCs/>
    </w:rPr>
  </w:style>
  <w:style w:type="paragraph" w:styleId="Heading5">
    <w:name w:val="heading 5"/>
    <w:basedOn w:val="Normal"/>
    <w:next w:val="Normal"/>
    <w:uiPriority w:val="9"/>
    <w:semiHidden/>
    <w:unhideWhenUsed/>
    <w:qFormat/>
    <w:pPr>
      <w:tabs>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rFonts w:ascii="Arial" w:eastAsia="Arial" w:hAnsi="Arial" w:cs="Arial"/>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88435E"/>
    <w:rPr>
      <w:color w:val="0000FF" w:themeColor="hyperlink"/>
      <w:u w:val="single"/>
    </w:rPr>
  </w:style>
  <w:style w:type="character" w:customStyle="1" w:styleId="UnresolvedMention">
    <w:name w:val="Unresolved Mention"/>
    <w:basedOn w:val="DefaultParagraphFont"/>
    <w:uiPriority w:val="99"/>
    <w:semiHidden/>
    <w:unhideWhenUsed/>
    <w:rsid w:val="0088435E"/>
    <w:rPr>
      <w:color w:val="605E5C"/>
      <w:shd w:val="clear" w:color="auto" w:fill="E1DFDD"/>
    </w:rPr>
  </w:style>
  <w:style w:type="character" w:styleId="FollowedHyperlink">
    <w:name w:val="FollowedHyperlink"/>
    <w:basedOn w:val="DefaultParagraphFont"/>
    <w:uiPriority w:val="99"/>
    <w:semiHidden/>
    <w:unhideWhenUsed/>
    <w:rsid w:val="0088435E"/>
    <w:rPr>
      <w:color w:val="800080" w:themeColor="followedHyperlink"/>
      <w:u w:val="single"/>
    </w:rPr>
  </w:style>
  <w:style w:type="paragraph" w:styleId="Header">
    <w:name w:val="header"/>
    <w:basedOn w:val="Normal"/>
    <w:link w:val="HeaderChar"/>
    <w:uiPriority w:val="99"/>
    <w:unhideWhenUsed/>
    <w:rsid w:val="00380FE9"/>
    <w:pPr>
      <w:tabs>
        <w:tab w:val="center" w:pos="4680"/>
        <w:tab w:val="right" w:pos="9360"/>
      </w:tabs>
    </w:pPr>
  </w:style>
  <w:style w:type="character" w:customStyle="1" w:styleId="HeaderChar">
    <w:name w:val="Header Char"/>
    <w:basedOn w:val="DefaultParagraphFont"/>
    <w:link w:val="Header"/>
    <w:uiPriority w:val="99"/>
    <w:rsid w:val="00380FE9"/>
  </w:style>
  <w:style w:type="paragraph" w:styleId="Footer">
    <w:name w:val="footer"/>
    <w:basedOn w:val="Normal"/>
    <w:link w:val="FooterChar"/>
    <w:uiPriority w:val="99"/>
    <w:unhideWhenUsed/>
    <w:rsid w:val="00380FE9"/>
    <w:pPr>
      <w:tabs>
        <w:tab w:val="center" w:pos="4680"/>
        <w:tab w:val="right" w:pos="9360"/>
      </w:tabs>
    </w:pPr>
  </w:style>
  <w:style w:type="character" w:customStyle="1" w:styleId="FooterChar">
    <w:name w:val="Footer Char"/>
    <w:basedOn w:val="DefaultParagraphFont"/>
    <w:link w:val="Footer"/>
    <w:uiPriority w:val="99"/>
    <w:rsid w:val="00380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mailto:nsoviha@gmail.com" TargetMode="External"/><Relationship Id="rId18" Type="http://schemas.openxmlformats.org/officeDocument/2006/relationships/hyperlink" Target="mailto:amandasalsabila206@gmail.com" TargetMode="Externa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yperlink" Target="mailto:nsoviha@gmail.com" TargetMode="External"/><Relationship Id="rId17" Type="http://schemas.openxmlformats.org/officeDocument/2006/relationships/hyperlink" Target="mailto:24041124118@uniga.ac.id" TargetMode="External"/><Relationship Id="rId25" Type="http://schemas.openxmlformats.org/officeDocument/2006/relationships/footer" Target="footer4.xml"/><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yperlink" Target="mailto:syadiah064@gmail.com" TargetMode="External"/><Relationship Id="rId20" Type="http://schemas.openxmlformats.org/officeDocument/2006/relationships/header" Target="header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yfaaghni@gmail.com" TargetMode="External"/><Relationship Id="rId24" Type="http://schemas.openxmlformats.org/officeDocument/2006/relationships/image" Target="media/image2.png"/><Relationship Id="rId32" Type="http://schemas.openxmlformats.org/officeDocument/2006/relationships/image" Target="media/image7.jpg"/><Relationship Id="rId5" Type="http://schemas.openxmlformats.org/officeDocument/2006/relationships/settings" Target="settings.xml"/><Relationship Id="rId15" Type="http://schemas.openxmlformats.org/officeDocument/2006/relationships/hyperlink" Target="mailto:silmiaulia455@gmail.com" TargetMode="Externa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hyperlink" Target="mailto:syfaaghni@gmail.com" TargetMode="External"/><Relationship Id="rId19" Type="http://schemas.openxmlformats.org/officeDocument/2006/relationships/header" Target="header1.xml"/><Relationship Id="rId31" Type="http://schemas.openxmlformats.org/officeDocument/2006/relationships/image" Target="media/image6.jpg"/><Relationship Id="rId4" Type="http://schemas.openxmlformats.org/officeDocument/2006/relationships/styles" Target="styles.xml"/><Relationship Id="rId9" Type="http://schemas.openxmlformats.org/officeDocument/2006/relationships/hyperlink" Target="mailto:amandasalsabila206@gmail.com" TargetMode="External"/><Relationship Id="rId14" Type="http://schemas.openxmlformats.org/officeDocument/2006/relationships/hyperlink" Target="mailto:nyshifa227@gmail.com" TargetMode="External"/><Relationship Id="rId22" Type="http://schemas.openxmlformats.org/officeDocument/2006/relationships/footer" Target="footer2.xml"/><Relationship Id="rId27" Type="http://schemas.openxmlformats.org/officeDocument/2006/relationships/image" Target="media/image4.png"/><Relationship Id="rId30" Type="http://schemas.openxmlformats.org/officeDocument/2006/relationships/footer" Target="footer6.xml"/><Relationship Id="rId35"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hyperlink" Target="https://journal.uniga.ac.id/index.php/NURAGA/index"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aRQZVb+IEXgRKBX4HBHmAO5gA==">CgMxLjA4AHIhMUo3QW5Mc29JcTBPR1FzdDhHcWQ1VjNyX1Y0ZjVLdDEy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E8638C-B238-42EC-8386-FD77C85A2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8</Pages>
  <Words>6096</Words>
  <Characters>34748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Editor NURAGA</cp:lastModifiedBy>
  <cp:revision>8</cp:revision>
  <cp:lastPrinted>2026-04-24T02:01:00Z</cp:lastPrinted>
  <dcterms:created xsi:type="dcterms:W3CDTF">2026-04-21T00:51:00Z</dcterms:created>
  <dcterms:modified xsi:type="dcterms:W3CDTF">2026-04-24T02:01:00Z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e62b8f31-4cd5-361e-a10e-11b5ec0377ac</vt:lpwstr>
  </property>
  <property fmtid="{D5CDD505-2E9C-101B-9397-08002B2CF9AE}" pid="24" name="Mendeley Citation Style_1">
    <vt:lpwstr>http://www.zotero.org/styles/apa</vt:lpwstr>
  </property>
</Properties>
</file>